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D8" w:rsidRDefault="00C50ED8" w:rsidP="00260D1B">
      <w:pPr>
        <w:pStyle w:val="Heading2"/>
      </w:pPr>
    </w:p>
    <w:p w:rsidR="00C50ED8" w:rsidRDefault="00C50ED8" w:rsidP="00C50ED8"/>
    <w:p w:rsidR="00C50ED8" w:rsidRDefault="00C50ED8" w:rsidP="00C50ED8"/>
    <w:p w:rsidR="00C50ED8" w:rsidRDefault="00C50ED8" w:rsidP="00C50ED8"/>
    <w:p w:rsidR="00C50ED8" w:rsidRPr="00C50ED8" w:rsidRDefault="00C50ED8" w:rsidP="00C50ED8"/>
    <w:p w:rsidR="00C50ED8" w:rsidRDefault="00C50ED8" w:rsidP="00260D1B">
      <w:pPr>
        <w:pStyle w:val="Heading2"/>
      </w:pPr>
    </w:p>
    <w:p w:rsidR="00AD6E3F" w:rsidRDefault="00C50ED8" w:rsidP="00C50ED8">
      <w:pPr>
        <w:pStyle w:val="Heading2"/>
        <w:jc w:val="center"/>
      </w:pPr>
      <w:r>
        <w:t>Barriers to the safe use of personal mobility devices – Consultation Regulation Impact Statement</w:t>
      </w:r>
    </w:p>
    <w:p w:rsidR="00AD6E3F" w:rsidRDefault="00AD6E3F" w:rsidP="007A4BC0">
      <w:pPr>
        <w:pStyle w:val="NormalRule"/>
      </w:pPr>
    </w:p>
    <w:p w:rsidR="00C50ED8" w:rsidRPr="00C50ED8" w:rsidRDefault="00C50ED8" w:rsidP="00C50ED8">
      <w:pPr>
        <w:ind w:left="1080"/>
        <w:jc w:val="center"/>
        <w:rPr>
          <w:rStyle w:val="IntenseEmphasis"/>
          <w:sz w:val="28"/>
          <w:szCs w:val="28"/>
        </w:rPr>
      </w:pPr>
      <w:r w:rsidRPr="00C50ED8">
        <w:rPr>
          <w:rStyle w:val="IntenseEmphasis"/>
          <w:sz w:val="28"/>
          <w:szCs w:val="28"/>
        </w:rPr>
        <w:t>Submission by the Department of Infrastructure, Transport, Cities and Regional Development to the National Transport Commission</w:t>
      </w:r>
    </w:p>
    <w:p w:rsidR="00C50ED8" w:rsidRPr="00C50ED8" w:rsidRDefault="00C50ED8" w:rsidP="00C50ED8">
      <w:pPr>
        <w:ind w:left="1080"/>
        <w:jc w:val="center"/>
        <w:rPr>
          <w:rStyle w:val="IntenseEmphasis"/>
          <w:sz w:val="28"/>
          <w:szCs w:val="28"/>
        </w:rPr>
      </w:pPr>
    </w:p>
    <w:p w:rsidR="00C50ED8" w:rsidRPr="00C50ED8" w:rsidRDefault="00C50ED8" w:rsidP="00C50ED8">
      <w:pPr>
        <w:ind w:left="1080"/>
        <w:jc w:val="center"/>
        <w:rPr>
          <w:rStyle w:val="IntenseEmphasis"/>
          <w:sz w:val="28"/>
          <w:szCs w:val="28"/>
        </w:rPr>
      </w:pPr>
      <w:r w:rsidRPr="00C50ED8">
        <w:rPr>
          <w:rStyle w:val="IntenseEmphasis"/>
          <w:sz w:val="28"/>
          <w:szCs w:val="28"/>
        </w:rPr>
        <w:t>December 2019</w:t>
      </w:r>
    </w:p>
    <w:p w:rsidR="00C50ED8" w:rsidRDefault="00C50ED8" w:rsidP="00C50ED8">
      <w:pPr>
        <w:ind w:left="1080"/>
      </w:pPr>
    </w:p>
    <w:p w:rsidR="00C50ED8" w:rsidRDefault="00C50ED8" w:rsidP="00AF63C3">
      <w:pPr>
        <w:rPr>
          <w:lang w:val="en-US"/>
        </w:rPr>
      </w:pPr>
      <w:r>
        <w:rPr>
          <w:lang w:val="en-US"/>
        </w:rPr>
        <w:br w:type="page"/>
      </w:r>
    </w:p>
    <w:p w:rsidR="00AF63C3" w:rsidRDefault="00C50ED8" w:rsidP="00AF63C3">
      <w:pPr>
        <w:rPr>
          <w:lang w:val="en-US"/>
        </w:rPr>
      </w:pPr>
      <w:r>
        <w:rPr>
          <w:lang w:val="en-US"/>
        </w:rPr>
        <w:lastRenderedPageBreak/>
        <w:t>Introduction</w:t>
      </w:r>
    </w:p>
    <w:p w:rsidR="00C50ED8" w:rsidRDefault="00C50ED8" w:rsidP="00C50ED8">
      <w:pPr>
        <w:pStyle w:val="ListParagraph"/>
        <w:numPr>
          <w:ilvl w:val="0"/>
          <w:numId w:val="5"/>
        </w:numPr>
        <w:rPr>
          <w:lang w:val="en-US"/>
        </w:rPr>
      </w:pPr>
      <w:r>
        <w:rPr>
          <w:lang w:val="en-US"/>
        </w:rPr>
        <w:t xml:space="preserve">In October 2019 the National Transport Commission (NTC) published a Consultation Regulatory Impact Statement (Consultation RIS) </w:t>
      </w:r>
      <w:r w:rsidR="00E41452">
        <w:rPr>
          <w:lang w:val="en-US"/>
        </w:rPr>
        <w:t>entitled</w:t>
      </w:r>
      <w:r>
        <w:rPr>
          <w:lang w:val="en-US"/>
        </w:rPr>
        <w:t xml:space="preserve"> </w:t>
      </w:r>
      <w:r w:rsidR="00E41452">
        <w:rPr>
          <w:lang w:val="en-US"/>
        </w:rPr>
        <w:t>B</w:t>
      </w:r>
      <w:r>
        <w:rPr>
          <w:lang w:val="en-US"/>
        </w:rPr>
        <w:t>arriers to the safe use of personal mobility devices</w:t>
      </w:r>
      <w:r w:rsidR="00E41452">
        <w:rPr>
          <w:lang w:val="en-US"/>
        </w:rPr>
        <w:t xml:space="preserve"> (PMD</w:t>
      </w:r>
      <w:r w:rsidR="00BA2440">
        <w:rPr>
          <w:lang w:val="en-US"/>
        </w:rPr>
        <w:t>s</w:t>
      </w:r>
      <w:r w:rsidR="00E41452">
        <w:rPr>
          <w:lang w:val="en-US"/>
        </w:rPr>
        <w:t>)</w:t>
      </w:r>
      <w:r>
        <w:rPr>
          <w:lang w:val="en-US"/>
        </w:rPr>
        <w:t xml:space="preserve">. The purpose of the Consultation RIS was to </w:t>
      </w:r>
      <w:r w:rsidR="00F26907">
        <w:rPr>
          <w:lang w:val="en-US"/>
        </w:rPr>
        <w:t xml:space="preserve">seek views on whether a wider range of </w:t>
      </w:r>
      <w:r w:rsidR="00BA2440">
        <w:rPr>
          <w:lang w:val="en-US"/>
        </w:rPr>
        <w:t>PMDs</w:t>
      </w:r>
      <w:r w:rsidR="00E41452">
        <w:rPr>
          <w:lang w:val="en-US"/>
        </w:rPr>
        <w:t xml:space="preserve"> should be </w:t>
      </w:r>
      <w:r w:rsidR="00E93A2A">
        <w:rPr>
          <w:lang w:val="en-US"/>
        </w:rPr>
        <w:t>permitted</w:t>
      </w:r>
      <w:r w:rsidR="00E41452">
        <w:rPr>
          <w:lang w:val="en-US"/>
        </w:rPr>
        <w:t xml:space="preserve"> </w:t>
      </w:r>
      <w:r w:rsidR="00F26907">
        <w:rPr>
          <w:lang w:val="en-US"/>
        </w:rPr>
        <w:t>in Australia</w:t>
      </w:r>
      <w:r w:rsidR="00E41452">
        <w:rPr>
          <w:lang w:val="en-US"/>
        </w:rPr>
        <w:t>,</w:t>
      </w:r>
      <w:r w:rsidR="00F26907">
        <w:rPr>
          <w:lang w:val="en-US"/>
        </w:rPr>
        <w:t xml:space="preserve"> </w:t>
      </w:r>
      <w:r w:rsidR="00E41452">
        <w:rPr>
          <w:lang w:val="en-US"/>
        </w:rPr>
        <w:t>where and at what speed</w:t>
      </w:r>
      <w:r w:rsidR="00F26907">
        <w:rPr>
          <w:lang w:val="en-US"/>
        </w:rPr>
        <w:t xml:space="preserve"> they should be allowed to be used.</w:t>
      </w:r>
    </w:p>
    <w:p w:rsidR="00F26907" w:rsidRDefault="00E41452" w:rsidP="00C50ED8">
      <w:pPr>
        <w:pStyle w:val="ListParagraph"/>
        <w:numPr>
          <w:ilvl w:val="0"/>
          <w:numId w:val="5"/>
        </w:numPr>
        <w:rPr>
          <w:lang w:val="en-US"/>
        </w:rPr>
      </w:pPr>
      <w:r>
        <w:rPr>
          <w:lang w:val="en-US"/>
        </w:rPr>
        <w:t>In the Consultation RIS</w:t>
      </w:r>
      <w:r w:rsidR="00BA2440">
        <w:rPr>
          <w:lang w:val="en-US"/>
        </w:rPr>
        <w:t>,</w:t>
      </w:r>
      <w:r>
        <w:rPr>
          <w:lang w:val="en-US"/>
        </w:rPr>
        <w:t xml:space="preserve"> a</w:t>
      </w:r>
      <w:r w:rsidR="00F26907">
        <w:rPr>
          <w:lang w:val="en-US"/>
        </w:rPr>
        <w:t xml:space="preserve"> personal mobility device is defined as small, portable and designed to carry one person over short to medium distances.</w:t>
      </w:r>
      <w:r w:rsidR="00330F6B">
        <w:rPr>
          <w:lang w:val="en-US"/>
        </w:rPr>
        <w:t xml:space="preserve"> Table 2 on page 18 sets out a technical definition.</w:t>
      </w:r>
    </w:p>
    <w:p w:rsidR="00330F6B" w:rsidRDefault="00330F6B" w:rsidP="00C50ED8">
      <w:pPr>
        <w:pStyle w:val="ListParagraph"/>
        <w:numPr>
          <w:ilvl w:val="0"/>
          <w:numId w:val="5"/>
        </w:numPr>
        <w:rPr>
          <w:lang w:val="en-US"/>
        </w:rPr>
      </w:pPr>
      <w:r>
        <w:rPr>
          <w:lang w:val="en-US"/>
        </w:rPr>
        <w:t>The Consultation RIS proposes a national approach to the use of PMDs in Australia through an update to the Australian Road Rules</w:t>
      </w:r>
      <w:r w:rsidR="0044777A">
        <w:rPr>
          <w:lang w:val="en-US"/>
        </w:rPr>
        <w:t xml:space="preserve"> (ARRs)</w:t>
      </w:r>
      <w:r>
        <w:rPr>
          <w:lang w:val="en-US"/>
        </w:rPr>
        <w:t>.</w:t>
      </w:r>
    </w:p>
    <w:p w:rsidR="00330F6B" w:rsidRDefault="00330F6B" w:rsidP="00C50ED8">
      <w:pPr>
        <w:pStyle w:val="ListParagraph"/>
        <w:numPr>
          <w:ilvl w:val="0"/>
          <w:numId w:val="5"/>
        </w:numPr>
        <w:rPr>
          <w:lang w:val="en-US"/>
        </w:rPr>
      </w:pPr>
      <w:r>
        <w:rPr>
          <w:lang w:val="en-US"/>
        </w:rPr>
        <w:t xml:space="preserve">The Consultation RIS discussed five options, </w:t>
      </w:r>
      <w:r w:rsidR="0099053F">
        <w:rPr>
          <w:lang w:val="en-US"/>
        </w:rPr>
        <w:t>with</w:t>
      </w:r>
      <w:r>
        <w:rPr>
          <w:lang w:val="en-US"/>
        </w:rPr>
        <w:t xml:space="preserve"> the NTC </w:t>
      </w:r>
      <w:proofErr w:type="spellStart"/>
      <w:r>
        <w:rPr>
          <w:lang w:val="en-US"/>
        </w:rPr>
        <w:t>favour</w:t>
      </w:r>
      <w:r w:rsidR="0099053F">
        <w:rPr>
          <w:lang w:val="en-US"/>
        </w:rPr>
        <w:t>ing</w:t>
      </w:r>
      <w:proofErr w:type="spellEnd"/>
      <w:r>
        <w:rPr>
          <w:lang w:val="en-US"/>
        </w:rPr>
        <w:t xml:space="preserve"> option </w:t>
      </w:r>
      <w:r w:rsidR="00E93A2A">
        <w:rPr>
          <w:lang w:val="en-US"/>
        </w:rPr>
        <w:t>3</w:t>
      </w:r>
      <w:r>
        <w:rPr>
          <w:lang w:val="en-US"/>
        </w:rPr>
        <w:t xml:space="preserve"> with speed approach 1. Option </w:t>
      </w:r>
      <w:r w:rsidR="00E93A2A">
        <w:rPr>
          <w:lang w:val="en-US"/>
        </w:rPr>
        <w:t>3</w:t>
      </w:r>
      <w:r>
        <w:rPr>
          <w:lang w:val="en-US"/>
        </w:rPr>
        <w:t xml:space="preserve"> with speed approach 1 </w:t>
      </w:r>
      <w:r w:rsidR="00E93A2A">
        <w:rPr>
          <w:lang w:val="en-US"/>
        </w:rPr>
        <w:t>gives</w:t>
      </w:r>
      <w:r>
        <w:rPr>
          <w:lang w:val="en-US"/>
        </w:rPr>
        <w:t xml:space="preserve"> riders of PMDs access to footpaths, shared paths, separated footpaths, bicycle paths and local roads</w:t>
      </w:r>
      <w:r w:rsidR="003A60F2">
        <w:rPr>
          <w:lang w:val="en-US"/>
        </w:rPr>
        <w:t xml:space="preserve"> (i.e. roads with a speed limit </w:t>
      </w:r>
      <w:r w:rsidR="003A60F2">
        <w:rPr>
          <w:rFonts w:cstheme="minorHAnsi"/>
          <w:lang w:val="en-US"/>
        </w:rPr>
        <w:t>≤</w:t>
      </w:r>
      <w:r w:rsidR="003A60F2">
        <w:rPr>
          <w:lang w:val="en-US"/>
        </w:rPr>
        <w:t>50 km/h)</w:t>
      </w:r>
      <w:r>
        <w:rPr>
          <w:lang w:val="en-US"/>
        </w:rPr>
        <w:t>, with a maximum speed of 10 km/h on pedestrian infrastructure and 25 km/h maximum speed on bicycle infrastructure and roads.</w:t>
      </w:r>
    </w:p>
    <w:p w:rsidR="003447A1" w:rsidRDefault="003447A1" w:rsidP="00C50ED8">
      <w:pPr>
        <w:pStyle w:val="ListParagraph"/>
        <w:numPr>
          <w:ilvl w:val="0"/>
          <w:numId w:val="5"/>
        </w:numPr>
        <w:rPr>
          <w:lang w:val="en-US"/>
        </w:rPr>
      </w:pPr>
      <w:r>
        <w:rPr>
          <w:lang w:val="en-US"/>
        </w:rPr>
        <w:t xml:space="preserve">This submission to the NTC consultation RIS provides feedback from the Commonwealth Department of Infrastructure, Transport, Cities and Regional Development (the department). It reflects the role that the department has in determining what a road vehicle is according to the </w:t>
      </w:r>
      <w:r w:rsidRPr="00BA2440">
        <w:rPr>
          <w:i/>
          <w:lang w:val="en-US"/>
        </w:rPr>
        <w:t>Motor Vehicle Standards Act 1989</w:t>
      </w:r>
      <w:r>
        <w:rPr>
          <w:lang w:val="en-US"/>
        </w:rPr>
        <w:t xml:space="preserve"> </w:t>
      </w:r>
      <w:r w:rsidR="00BA2440">
        <w:rPr>
          <w:lang w:val="en-US"/>
        </w:rPr>
        <w:t xml:space="preserve">(MVSA) </w:t>
      </w:r>
      <w:r>
        <w:rPr>
          <w:lang w:val="en-US"/>
        </w:rPr>
        <w:t xml:space="preserve">and the </w:t>
      </w:r>
      <w:r w:rsidRPr="00BA2440">
        <w:rPr>
          <w:i/>
          <w:lang w:val="en-US"/>
        </w:rPr>
        <w:t>Road Vehicle Standards Act 2018</w:t>
      </w:r>
      <w:r w:rsidR="00BA2440">
        <w:rPr>
          <w:i/>
          <w:lang w:val="en-US"/>
        </w:rPr>
        <w:t xml:space="preserve"> </w:t>
      </w:r>
      <w:r w:rsidR="00BA2440" w:rsidRPr="00BA2440">
        <w:rPr>
          <w:lang w:val="en-US"/>
        </w:rPr>
        <w:t>(RVSA)</w:t>
      </w:r>
      <w:r>
        <w:rPr>
          <w:lang w:val="en-US"/>
        </w:rPr>
        <w:t>, as well as the importation and certification of road vehicles to the national standards, the Australian Design Rules (ADRs).</w:t>
      </w:r>
    </w:p>
    <w:p w:rsidR="003447A1" w:rsidRDefault="003447A1" w:rsidP="003447A1">
      <w:pPr>
        <w:rPr>
          <w:lang w:val="en-US"/>
        </w:rPr>
      </w:pPr>
    </w:p>
    <w:p w:rsidR="003447A1" w:rsidRDefault="003447A1" w:rsidP="003447A1">
      <w:pPr>
        <w:rPr>
          <w:lang w:val="en-US"/>
        </w:rPr>
      </w:pPr>
      <w:r>
        <w:rPr>
          <w:lang w:val="en-US"/>
        </w:rPr>
        <w:t>Road vehicle legislation</w:t>
      </w:r>
    </w:p>
    <w:p w:rsidR="003447A1" w:rsidRDefault="003447A1" w:rsidP="003447A1">
      <w:pPr>
        <w:pStyle w:val="ListParagraph"/>
        <w:numPr>
          <w:ilvl w:val="0"/>
          <w:numId w:val="5"/>
        </w:numPr>
        <w:rPr>
          <w:lang w:val="en-US"/>
        </w:rPr>
      </w:pPr>
      <w:r>
        <w:rPr>
          <w:lang w:val="en-US"/>
        </w:rPr>
        <w:t xml:space="preserve">The </w:t>
      </w:r>
      <w:r w:rsidR="00766110">
        <w:rPr>
          <w:lang w:val="en-US"/>
        </w:rPr>
        <w:t>d</w:t>
      </w:r>
      <w:r>
        <w:rPr>
          <w:lang w:val="en-US"/>
        </w:rPr>
        <w:t xml:space="preserve">epartment administers the MVSA and its future replacement, the RVSA, on behalf of the </w:t>
      </w:r>
      <w:r w:rsidR="001043CD">
        <w:rPr>
          <w:lang w:val="en-US"/>
        </w:rPr>
        <w:t>Australian Government</w:t>
      </w:r>
      <w:r>
        <w:rPr>
          <w:lang w:val="en-US"/>
        </w:rPr>
        <w:t>. The MVSA/RVSA applies/will apply to new and used imported as well as locally manufactured road vehicles.</w:t>
      </w:r>
    </w:p>
    <w:p w:rsidR="006B7E3B" w:rsidRDefault="006B7E3B" w:rsidP="003447A1">
      <w:pPr>
        <w:pStyle w:val="ListParagraph"/>
        <w:numPr>
          <w:ilvl w:val="0"/>
          <w:numId w:val="5"/>
        </w:numPr>
        <w:rPr>
          <w:lang w:val="en-US"/>
        </w:rPr>
      </w:pPr>
      <w:r>
        <w:rPr>
          <w:lang w:val="en-US"/>
        </w:rPr>
        <w:t xml:space="preserve">The MVSA/RVSA regulates road motor vehicles before they are being supplied/provided to the market, </w:t>
      </w:r>
      <w:r w:rsidR="00E41452">
        <w:rPr>
          <w:lang w:val="en-US"/>
        </w:rPr>
        <w:t>whereas</w:t>
      </w:r>
      <w:r>
        <w:rPr>
          <w:lang w:val="en-US"/>
        </w:rPr>
        <w:t xml:space="preserve"> the use of road motor vehicles (and other types of vehicles) on public roads and road related areas is a matter for state and territory jurisdictions.</w:t>
      </w:r>
    </w:p>
    <w:p w:rsidR="006B7E3B" w:rsidRDefault="006B7E3B" w:rsidP="003447A1">
      <w:pPr>
        <w:pStyle w:val="ListParagraph"/>
        <w:numPr>
          <w:ilvl w:val="0"/>
          <w:numId w:val="5"/>
        </w:numPr>
        <w:rPr>
          <w:lang w:val="en-US"/>
        </w:rPr>
      </w:pPr>
      <w:r>
        <w:rPr>
          <w:lang w:val="en-US"/>
        </w:rPr>
        <w:t xml:space="preserve">As defined in the Consultation RIS, the PMDs would not be considered road motor vehicles according to the </w:t>
      </w:r>
      <w:r w:rsidR="00766110">
        <w:rPr>
          <w:lang w:val="en-US"/>
        </w:rPr>
        <w:t xml:space="preserve">proposed Road Vehicle Standards (Classes of Vehicles that are not Road Vehicles) Determination </w:t>
      </w:r>
      <w:r w:rsidR="00E41452">
        <w:rPr>
          <w:lang w:val="en-US"/>
        </w:rPr>
        <w:t xml:space="preserve">to be </w:t>
      </w:r>
      <w:r w:rsidR="00766110">
        <w:rPr>
          <w:lang w:val="en-US"/>
        </w:rPr>
        <w:t>made under the RVSA.</w:t>
      </w:r>
    </w:p>
    <w:p w:rsidR="00FE251C" w:rsidRDefault="00FE251C" w:rsidP="003447A1">
      <w:pPr>
        <w:pStyle w:val="ListParagraph"/>
        <w:numPr>
          <w:ilvl w:val="0"/>
          <w:numId w:val="5"/>
        </w:numPr>
        <w:rPr>
          <w:lang w:val="en-US"/>
        </w:rPr>
      </w:pPr>
      <w:r>
        <w:rPr>
          <w:lang w:val="en-US"/>
        </w:rPr>
        <w:t>Some PMDs, as defined in the Consultation RIS, would not be captured by the current Motor Vehicle Standards (Road Vehicles) Determination 2017.</w:t>
      </w:r>
      <w:r w:rsidR="003A60F2">
        <w:rPr>
          <w:lang w:val="en-US"/>
        </w:rPr>
        <w:t xml:space="preserve"> This Determination sets out classes of vehicles that are not road vehicles for the purposes of the MVSA.</w:t>
      </w:r>
      <w:r>
        <w:rPr>
          <w:lang w:val="en-US"/>
        </w:rPr>
        <w:t xml:space="preserve"> Further, the definition of a road motor vehicle under the MVSA means that, under current arrangements, some PMDs would be considered road motor vehicles.</w:t>
      </w:r>
    </w:p>
    <w:p w:rsidR="007B4568" w:rsidRDefault="007B4568" w:rsidP="003447A1">
      <w:pPr>
        <w:pStyle w:val="ListParagraph"/>
        <w:numPr>
          <w:ilvl w:val="0"/>
          <w:numId w:val="5"/>
        </w:numPr>
        <w:rPr>
          <w:lang w:val="en-US"/>
        </w:rPr>
      </w:pPr>
      <w:r>
        <w:rPr>
          <w:lang w:val="en-US"/>
        </w:rPr>
        <w:t>The MVSA defines a road motor vehicles as:</w:t>
      </w:r>
    </w:p>
    <w:p w:rsidR="007B4568" w:rsidRDefault="007B4568" w:rsidP="007B4568">
      <w:pPr>
        <w:pStyle w:val="ListParagraph"/>
        <w:numPr>
          <w:ilvl w:val="1"/>
          <w:numId w:val="5"/>
        </w:numPr>
        <w:rPr>
          <w:lang w:val="en-US"/>
        </w:rPr>
      </w:pPr>
      <w:r>
        <w:rPr>
          <w:lang w:val="en-US"/>
        </w:rPr>
        <w:t>A motor vehicle designed solely or principally for the transport on public roads of people, animals or goods; or</w:t>
      </w:r>
    </w:p>
    <w:p w:rsidR="007B4568" w:rsidRDefault="007B4568" w:rsidP="007B4568">
      <w:pPr>
        <w:pStyle w:val="ListParagraph"/>
        <w:numPr>
          <w:ilvl w:val="1"/>
          <w:numId w:val="5"/>
        </w:numPr>
        <w:rPr>
          <w:lang w:val="en-US"/>
        </w:rPr>
      </w:pPr>
      <w:r>
        <w:rPr>
          <w:lang w:val="en-US"/>
        </w:rPr>
        <w:t>A motor vehicle that is permitted to be used on public roads.</w:t>
      </w:r>
    </w:p>
    <w:p w:rsidR="0044777A" w:rsidRDefault="0044777A" w:rsidP="0044777A">
      <w:pPr>
        <w:pStyle w:val="ListParagraph"/>
        <w:numPr>
          <w:ilvl w:val="0"/>
          <w:numId w:val="5"/>
        </w:numPr>
        <w:rPr>
          <w:lang w:val="en-US"/>
        </w:rPr>
      </w:pPr>
      <w:r>
        <w:rPr>
          <w:lang w:val="en-US"/>
        </w:rPr>
        <w:lastRenderedPageBreak/>
        <w:t xml:space="preserve">In administering the MVSA, the department carries out </w:t>
      </w:r>
      <w:r w:rsidR="0099053F">
        <w:rPr>
          <w:lang w:val="en-US"/>
        </w:rPr>
        <w:t xml:space="preserve">an </w:t>
      </w:r>
      <w:r>
        <w:rPr>
          <w:lang w:val="en-US"/>
        </w:rPr>
        <w:t xml:space="preserve">assessment of vehicles to determine if they are road motor vehicles according to the definition of the legislation. </w:t>
      </w:r>
    </w:p>
    <w:p w:rsidR="0044777A" w:rsidRDefault="0044777A" w:rsidP="0044777A">
      <w:pPr>
        <w:pStyle w:val="ListParagraph"/>
        <w:numPr>
          <w:ilvl w:val="1"/>
          <w:numId w:val="5"/>
        </w:numPr>
        <w:rPr>
          <w:lang w:val="en-US"/>
        </w:rPr>
      </w:pPr>
      <w:r>
        <w:rPr>
          <w:lang w:val="en-US"/>
        </w:rPr>
        <w:t xml:space="preserve">If a vehicle is assessed as not being a road motor vehicle for the purpose of the MVSA, advice is issued to state this fact. This advice helps facilitate importation across the border. </w:t>
      </w:r>
    </w:p>
    <w:p w:rsidR="0044777A" w:rsidRDefault="0044777A" w:rsidP="0044777A">
      <w:pPr>
        <w:pStyle w:val="ListParagraph"/>
        <w:numPr>
          <w:ilvl w:val="1"/>
          <w:numId w:val="5"/>
        </w:numPr>
        <w:rPr>
          <w:lang w:val="en-US"/>
        </w:rPr>
      </w:pPr>
      <w:r>
        <w:rPr>
          <w:lang w:val="en-US"/>
        </w:rPr>
        <w:t>If a vehicle is assessed a being a road motor vehicle for the purpose of the MVSA but meets the definition of a PMD (as set out on the department’s website) the</w:t>
      </w:r>
      <w:r w:rsidR="00C9428A">
        <w:rPr>
          <w:lang w:val="en-US"/>
        </w:rPr>
        <w:t xml:space="preserve"> vehicle is granted import approval under discretionary arrangements.</w:t>
      </w:r>
    </w:p>
    <w:p w:rsidR="0044777A" w:rsidRPr="0044777A" w:rsidRDefault="0044777A" w:rsidP="0044777A">
      <w:pPr>
        <w:pStyle w:val="ListParagraph"/>
        <w:numPr>
          <w:ilvl w:val="1"/>
          <w:numId w:val="5"/>
        </w:numPr>
        <w:rPr>
          <w:lang w:val="en-US"/>
        </w:rPr>
      </w:pPr>
      <w:r>
        <w:rPr>
          <w:lang w:val="en-US"/>
        </w:rPr>
        <w:t xml:space="preserve">If a vehicle is assessed as being a road motor vehicle for the purpose of the MVSA, </w:t>
      </w:r>
      <w:r w:rsidR="00C9428A">
        <w:rPr>
          <w:lang w:val="en-US"/>
        </w:rPr>
        <w:t xml:space="preserve">and not meeting the definition of a PMD, </w:t>
      </w:r>
      <w:r>
        <w:rPr>
          <w:lang w:val="en-US"/>
        </w:rPr>
        <w:t>the application is refused. However, the applicant is able to go through a certification process provided the applicable ADRs are met.</w:t>
      </w:r>
    </w:p>
    <w:p w:rsidR="00766110" w:rsidRDefault="00766110" w:rsidP="00766110">
      <w:pPr>
        <w:rPr>
          <w:lang w:val="en-US"/>
        </w:rPr>
      </w:pPr>
    </w:p>
    <w:p w:rsidR="00C9428A" w:rsidRDefault="0099053F" w:rsidP="00766110">
      <w:pPr>
        <w:rPr>
          <w:lang w:val="en-US"/>
        </w:rPr>
      </w:pPr>
      <w:r>
        <w:rPr>
          <w:lang w:val="en-US"/>
        </w:rPr>
        <w:t>Discussion</w:t>
      </w:r>
    </w:p>
    <w:p w:rsidR="005D5F02" w:rsidRDefault="0041695F" w:rsidP="0041695F">
      <w:pPr>
        <w:pStyle w:val="ListParagraph"/>
        <w:numPr>
          <w:ilvl w:val="0"/>
          <w:numId w:val="5"/>
        </w:numPr>
        <w:rPr>
          <w:lang w:val="en-US"/>
        </w:rPr>
      </w:pPr>
      <w:r w:rsidRPr="0041695F">
        <w:rPr>
          <w:lang w:val="en-US"/>
        </w:rPr>
        <w:t>The</w:t>
      </w:r>
      <w:r>
        <w:rPr>
          <w:lang w:val="en-US"/>
        </w:rPr>
        <w:t xml:space="preserve"> Consultation RIS </w:t>
      </w:r>
      <w:proofErr w:type="spellStart"/>
      <w:r>
        <w:rPr>
          <w:lang w:val="en-US"/>
        </w:rPr>
        <w:t>recognises</w:t>
      </w:r>
      <w:proofErr w:type="spellEnd"/>
      <w:r>
        <w:rPr>
          <w:lang w:val="en-US"/>
        </w:rPr>
        <w:t xml:space="preserve"> the plethora of </w:t>
      </w:r>
      <w:r w:rsidR="00B00E43">
        <w:rPr>
          <w:lang w:val="en-US"/>
        </w:rPr>
        <w:t xml:space="preserve">very </w:t>
      </w:r>
      <w:r>
        <w:rPr>
          <w:lang w:val="en-US"/>
        </w:rPr>
        <w:t>light electric devices that have become available to the market in recent years</w:t>
      </w:r>
      <w:r w:rsidR="005D5F02">
        <w:rPr>
          <w:lang w:val="en-US"/>
        </w:rPr>
        <w:t>,</w:t>
      </w:r>
      <w:r w:rsidR="009E2A16">
        <w:rPr>
          <w:lang w:val="en-US"/>
        </w:rPr>
        <w:t xml:space="preserve"> the fact that they</w:t>
      </w:r>
      <w:r w:rsidR="00E93A2A">
        <w:rPr>
          <w:lang w:val="en-US"/>
        </w:rPr>
        <w:t xml:space="preserve"> are</w:t>
      </w:r>
      <w:r w:rsidR="009E2A16">
        <w:rPr>
          <w:lang w:val="en-US"/>
        </w:rPr>
        <w:t xml:space="preserve"> already being used</w:t>
      </w:r>
      <w:r w:rsidR="005D5F02">
        <w:rPr>
          <w:lang w:val="en-US"/>
        </w:rPr>
        <w:t xml:space="preserve"> on roads and road related areas and that some jurisdictions have already allowed them to be used on footpaths and bike paths</w:t>
      </w:r>
      <w:r>
        <w:rPr>
          <w:lang w:val="en-US"/>
        </w:rPr>
        <w:t xml:space="preserve">. </w:t>
      </w:r>
    </w:p>
    <w:p w:rsidR="0041695F" w:rsidRDefault="005D5F02" w:rsidP="0041695F">
      <w:pPr>
        <w:pStyle w:val="ListParagraph"/>
        <w:numPr>
          <w:ilvl w:val="0"/>
          <w:numId w:val="5"/>
        </w:numPr>
        <w:rPr>
          <w:lang w:val="en-US"/>
        </w:rPr>
      </w:pPr>
      <w:r>
        <w:rPr>
          <w:lang w:val="en-US"/>
        </w:rPr>
        <w:t>Evidence suggests that t</w:t>
      </w:r>
      <w:r w:rsidR="0041695F">
        <w:rPr>
          <w:lang w:val="en-US"/>
        </w:rPr>
        <w:t>hese types of devices are used for both recreational and commuting purposes, short to medium distances.</w:t>
      </w:r>
    </w:p>
    <w:p w:rsidR="009E2A16" w:rsidRDefault="009E2A16" w:rsidP="0041695F">
      <w:pPr>
        <w:pStyle w:val="ListParagraph"/>
        <w:numPr>
          <w:ilvl w:val="0"/>
          <w:numId w:val="5"/>
        </w:numPr>
        <w:rPr>
          <w:lang w:val="en-US"/>
        </w:rPr>
      </w:pPr>
      <w:r>
        <w:rPr>
          <w:lang w:val="en-US"/>
        </w:rPr>
        <w:t xml:space="preserve">Except for bicycles, vehicles have typically been considered to be designed solely or principally for use in transport or recreational purposes. The light electric devices </w:t>
      </w:r>
      <w:r w:rsidR="00BA2440">
        <w:rPr>
          <w:lang w:val="en-US"/>
        </w:rPr>
        <w:t xml:space="preserve">defined as PMDs </w:t>
      </w:r>
      <w:r>
        <w:rPr>
          <w:lang w:val="en-US"/>
        </w:rPr>
        <w:t xml:space="preserve">are principally designed </w:t>
      </w:r>
      <w:r w:rsidR="00E93A2A">
        <w:rPr>
          <w:lang w:val="en-US"/>
        </w:rPr>
        <w:t xml:space="preserve">for </w:t>
      </w:r>
      <w:r>
        <w:rPr>
          <w:lang w:val="en-US"/>
        </w:rPr>
        <w:t>recreational purposes but are also serviceable for micro-mobility, i.e. end of journey commuting.</w:t>
      </w:r>
    </w:p>
    <w:p w:rsidR="0099053F" w:rsidRDefault="0099053F" w:rsidP="0041695F">
      <w:pPr>
        <w:pStyle w:val="ListParagraph"/>
        <w:numPr>
          <w:ilvl w:val="0"/>
          <w:numId w:val="5"/>
        </w:numPr>
        <w:rPr>
          <w:lang w:val="en-US"/>
        </w:rPr>
      </w:pPr>
      <w:r>
        <w:rPr>
          <w:lang w:val="en-US"/>
        </w:rPr>
        <w:t>Bicycles</w:t>
      </w:r>
      <w:r w:rsidR="000E6776">
        <w:rPr>
          <w:lang w:val="en-US"/>
        </w:rPr>
        <w:t xml:space="preserve">, with and without motors, are </w:t>
      </w:r>
      <w:r w:rsidR="001043CD">
        <w:rPr>
          <w:lang w:val="en-US"/>
        </w:rPr>
        <w:t>defined</w:t>
      </w:r>
      <w:r w:rsidR="000E6776">
        <w:rPr>
          <w:lang w:val="en-US"/>
        </w:rPr>
        <w:t xml:space="preserve"> by vehicle legislation </w:t>
      </w:r>
      <w:r w:rsidR="001043CD">
        <w:rPr>
          <w:lang w:val="en-US"/>
        </w:rPr>
        <w:t>in that</w:t>
      </w:r>
      <w:r w:rsidR="000E6776">
        <w:rPr>
          <w:lang w:val="en-US"/>
        </w:rPr>
        <w:t xml:space="preserve"> they have a vehicle category (AA or AB)</w:t>
      </w:r>
      <w:r w:rsidR="00BA2440">
        <w:rPr>
          <w:lang w:val="en-US"/>
        </w:rPr>
        <w:t xml:space="preserve"> assigned</w:t>
      </w:r>
      <w:r>
        <w:rPr>
          <w:lang w:val="en-US"/>
        </w:rPr>
        <w:t>, although no ADRs apply to them</w:t>
      </w:r>
      <w:r w:rsidR="000E6776">
        <w:rPr>
          <w:lang w:val="en-US"/>
        </w:rPr>
        <w:t xml:space="preserve">. Bicycles resemble PMDs in that </w:t>
      </w:r>
      <w:r>
        <w:rPr>
          <w:lang w:val="en-US"/>
        </w:rPr>
        <w:t>their design mak</w:t>
      </w:r>
      <w:r w:rsidR="000E6776">
        <w:rPr>
          <w:lang w:val="en-US"/>
        </w:rPr>
        <w:t>e</w:t>
      </w:r>
      <w:r w:rsidR="00372E7A">
        <w:rPr>
          <w:lang w:val="en-US"/>
        </w:rPr>
        <w:t>s</w:t>
      </w:r>
      <w:r>
        <w:rPr>
          <w:lang w:val="en-US"/>
        </w:rPr>
        <w:t xml:space="preserve"> them suitable for both transport and recreational purposes</w:t>
      </w:r>
      <w:r w:rsidR="00231F81">
        <w:rPr>
          <w:lang w:val="en-US"/>
        </w:rPr>
        <w:t xml:space="preserve">. </w:t>
      </w:r>
      <w:r w:rsidR="000E6776">
        <w:rPr>
          <w:lang w:val="en-US"/>
        </w:rPr>
        <w:t>Bicycles have historically been allowed access to most of the road network, and in some jurisdictions are also allowed to be used on footpaths.</w:t>
      </w:r>
    </w:p>
    <w:p w:rsidR="00231F81" w:rsidRDefault="000E6776" w:rsidP="0041695F">
      <w:pPr>
        <w:pStyle w:val="ListParagraph"/>
        <w:numPr>
          <w:ilvl w:val="0"/>
          <w:numId w:val="5"/>
        </w:numPr>
        <w:rPr>
          <w:lang w:val="en-US"/>
        </w:rPr>
      </w:pPr>
      <w:r>
        <w:rPr>
          <w:lang w:val="en-US"/>
        </w:rPr>
        <w:t>Because the types of devices defined as a PMD are principally designed for</w:t>
      </w:r>
      <w:r w:rsidR="00372E7A">
        <w:rPr>
          <w:lang w:val="en-US"/>
        </w:rPr>
        <w:t xml:space="preserve"> recreational purposes, there are</w:t>
      </w:r>
      <w:r>
        <w:rPr>
          <w:lang w:val="en-US"/>
        </w:rPr>
        <w:t xml:space="preserve"> no plans to give them a vehicle category</w:t>
      </w:r>
      <w:r w:rsidR="00BA2440">
        <w:rPr>
          <w:lang w:val="en-US"/>
        </w:rPr>
        <w:t xml:space="preserve"> or include them under motor vehicle legislation</w:t>
      </w:r>
      <w:r>
        <w:rPr>
          <w:lang w:val="en-US"/>
        </w:rPr>
        <w:t>, even if they may also be used for the transport on public roads of people.</w:t>
      </w:r>
    </w:p>
    <w:p w:rsidR="00231F81" w:rsidRDefault="00231F81" w:rsidP="0041695F">
      <w:pPr>
        <w:pStyle w:val="ListParagraph"/>
        <w:numPr>
          <w:ilvl w:val="0"/>
          <w:numId w:val="5"/>
        </w:numPr>
        <w:rPr>
          <w:lang w:val="en-US"/>
        </w:rPr>
      </w:pPr>
      <w:r>
        <w:rPr>
          <w:lang w:val="en-US"/>
        </w:rPr>
        <w:t xml:space="preserve">Despite their potential use </w:t>
      </w:r>
      <w:r w:rsidR="000E6776">
        <w:rPr>
          <w:lang w:val="en-US"/>
        </w:rPr>
        <w:t xml:space="preserve">in transport </w:t>
      </w:r>
      <w:r w:rsidR="001043CD">
        <w:rPr>
          <w:lang w:val="en-US"/>
        </w:rPr>
        <w:t>of people</w:t>
      </w:r>
      <w:r w:rsidR="001043CD">
        <w:rPr>
          <w:lang w:val="en-US"/>
        </w:rPr>
        <w:t xml:space="preserve"> </w:t>
      </w:r>
      <w:bookmarkStart w:id="0" w:name="_GoBack"/>
      <w:bookmarkEnd w:id="0"/>
      <w:r w:rsidR="000E6776">
        <w:rPr>
          <w:lang w:val="en-US"/>
        </w:rPr>
        <w:t>on public roads</w:t>
      </w:r>
      <w:r>
        <w:rPr>
          <w:lang w:val="en-US"/>
        </w:rPr>
        <w:t xml:space="preserve">, </w:t>
      </w:r>
      <w:r w:rsidR="000E6776">
        <w:rPr>
          <w:lang w:val="en-US"/>
        </w:rPr>
        <w:t>such journeys are</w:t>
      </w:r>
      <w:r w:rsidR="001233AF">
        <w:rPr>
          <w:lang w:val="en-US"/>
        </w:rPr>
        <w:t xml:space="preserve"> likely to be</w:t>
      </w:r>
      <w:r w:rsidR="000E6776">
        <w:rPr>
          <w:lang w:val="en-US"/>
        </w:rPr>
        <w:t xml:space="preserve"> </w:t>
      </w:r>
      <w:r>
        <w:rPr>
          <w:lang w:val="en-US"/>
        </w:rPr>
        <w:t>short or medium</w:t>
      </w:r>
      <w:r w:rsidR="000E6776">
        <w:rPr>
          <w:lang w:val="en-US"/>
        </w:rPr>
        <w:t xml:space="preserve"> </w:t>
      </w:r>
      <w:r w:rsidR="00BA2440">
        <w:rPr>
          <w:lang w:val="en-US"/>
        </w:rPr>
        <w:t>distances</w:t>
      </w:r>
      <w:r>
        <w:rPr>
          <w:lang w:val="en-US"/>
        </w:rPr>
        <w:t>.</w:t>
      </w:r>
      <w:r w:rsidR="000E6776">
        <w:rPr>
          <w:lang w:val="en-US"/>
        </w:rPr>
        <w:t xml:space="preserve"> It is desirable to keep their speed under 25 km/h for safety reasons</w:t>
      </w:r>
      <w:r w:rsidR="003D4EDC">
        <w:rPr>
          <w:lang w:val="en-US"/>
        </w:rPr>
        <w:t xml:space="preserve"> and limit use to local roads with a speed limit of </w:t>
      </w:r>
      <w:r w:rsidR="003D4EDC">
        <w:rPr>
          <w:rFonts w:cstheme="minorHAnsi"/>
          <w:lang w:val="en-US"/>
        </w:rPr>
        <w:t>≤</w:t>
      </w:r>
      <w:r w:rsidR="003D4EDC">
        <w:rPr>
          <w:lang w:val="en-US"/>
        </w:rPr>
        <w:t>50 km/h</w:t>
      </w:r>
      <w:r w:rsidR="000E6776">
        <w:rPr>
          <w:lang w:val="en-US"/>
        </w:rPr>
        <w:t>. Also higher speeds</w:t>
      </w:r>
      <w:r w:rsidR="007933E8">
        <w:rPr>
          <w:lang w:val="en-US"/>
        </w:rPr>
        <w:t xml:space="preserve"> (albeit lower mass)</w:t>
      </w:r>
      <w:r w:rsidR="000E6776">
        <w:rPr>
          <w:lang w:val="en-US"/>
        </w:rPr>
        <w:t xml:space="preserve">, combined with road use might bring such vehicles into </w:t>
      </w:r>
      <w:r w:rsidR="007933E8">
        <w:rPr>
          <w:lang w:val="en-US"/>
        </w:rPr>
        <w:t xml:space="preserve">the same space as </w:t>
      </w:r>
      <w:proofErr w:type="spellStart"/>
      <w:r w:rsidR="007933E8">
        <w:rPr>
          <w:lang w:val="en-US"/>
        </w:rPr>
        <w:t>quadricycles</w:t>
      </w:r>
      <w:proofErr w:type="spellEnd"/>
      <w:r w:rsidR="007933E8">
        <w:rPr>
          <w:lang w:val="en-US"/>
        </w:rPr>
        <w:t>, although these are not generally allowed to be used on public roads.</w:t>
      </w:r>
    </w:p>
    <w:p w:rsidR="00C9428A" w:rsidRDefault="007933E8" w:rsidP="0041695F">
      <w:pPr>
        <w:pStyle w:val="ListParagraph"/>
        <w:numPr>
          <w:ilvl w:val="0"/>
          <w:numId w:val="5"/>
        </w:numPr>
        <w:rPr>
          <w:lang w:val="en-US"/>
        </w:rPr>
      </w:pPr>
      <w:r>
        <w:rPr>
          <w:lang w:val="en-US"/>
        </w:rPr>
        <w:t>Due to the considerations outlined above, t</w:t>
      </w:r>
      <w:r w:rsidR="00C9428A">
        <w:rPr>
          <w:lang w:val="en-US"/>
        </w:rPr>
        <w:t>he department agrees with the preferred option (option 3 with speed approach 1). This option seems to have struck a good balance between road safety and safety on road related ar</w:t>
      </w:r>
      <w:r>
        <w:rPr>
          <w:lang w:val="en-US"/>
        </w:rPr>
        <w:t>eas and consumer choice.</w:t>
      </w:r>
    </w:p>
    <w:p w:rsidR="0041695F" w:rsidRPr="00C9428A" w:rsidRDefault="00E93A2A" w:rsidP="0041695F">
      <w:pPr>
        <w:pStyle w:val="ListParagraph"/>
        <w:numPr>
          <w:ilvl w:val="0"/>
          <w:numId w:val="5"/>
        </w:numPr>
        <w:rPr>
          <w:lang w:val="en-US"/>
        </w:rPr>
      </w:pPr>
      <w:r>
        <w:rPr>
          <w:lang w:val="en-US"/>
        </w:rPr>
        <w:t xml:space="preserve">The department has started the process to change the Motor Vehicle Standards (Road Vehicles) Determination 2017 to </w:t>
      </w:r>
      <w:r w:rsidR="00A11EB9">
        <w:rPr>
          <w:lang w:val="en-US"/>
        </w:rPr>
        <w:t>include the definition of a PMD so as to give effect to such vehicles not being deemed road motor vehicles despite being allowed to be used on public roads.</w:t>
      </w:r>
    </w:p>
    <w:p w:rsidR="00766110" w:rsidRDefault="00766110" w:rsidP="00766110">
      <w:pPr>
        <w:rPr>
          <w:lang w:val="en-US"/>
        </w:rPr>
      </w:pPr>
      <w:r>
        <w:rPr>
          <w:lang w:val="en-US"/>
        </w:rPr>
        <w:lastRenderedPageBreak/>
        <w:t>Conclusion</w:t>
      </w:r>
    </w:p>
    <w:p w:rsidR="00664E54" w:rsidRPr="00866E23" w:rsidRDefault="00766110" w:rsidP="00EE5AE2">
      <w:pPr>
        <w:pStyle w:val="ListParagraph"/>
        <w:numPr>
          <w:ilvl w:val="0"/>
          <w:numId w:val="5"/>
        </w:numPr>
      </w:pPr>
      <w:r w:rsidRPr="00EE5AE2">
        <w:rPr>
          <w:lang w:val="en-US"/>
        </w:rPr>
        <w:t xml:space="preserve">The department supports </w:t>
      </w:r>
      <w:r w:rsidR="00430972" w:rsidRPr="00EE5AE2">
        <w:rPr>
          <w:lang w:val="en-US"/>
        </w:rPr>
        <w:t>the preferred option (option 3 with speed approach 1)</w:t>
      </w:r>
      <w:r w:rsidR="00FE251C" w:rsidRPr="00EE5AE2">
        <w:rPr>
          <w:lang w:val="en-US"/>
        </w:rPr>
        <w:t>. The department has started work to ensure that Commonwealth legislation aligns with</w:t>
      </w:r>
      <w:r w:rsidR="00430972" w:rsidRPr="00EE5AE2">
        <w:rPr>
          <w:lang w:val="en-US"/>
        </w:rPr>
        <w:t xml:space="preserve"> </w:t>
      </w:r>
      <w:r w:rsidR="00FE251C" w:rsidRPr="00EE5AE2">
        <w:rPr>
          <w:lang w:val="en-US"/>
        </w:rPr>
        <w:t>updated Australian Road Rules.</w:t>
      </w:r>
    </w:p>
    <w:sectPr w:rsidR="00664E54" w:rsidRPr="00866E23" w:rsidSect="004E7A3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049" w:bottom="1259" w:left="1049"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D8" w:rsidRDefault="00C50ED8" w:rsidP="003C4540">
      <w:pPr>
        <w:spacing w:after="0" w:line="240" w:lineRule="auto"/>
      </w:pPr>
      <w:r>
        <w:separator/>
      </w:r>
    </w:p>
  </w:endnote>
  <w:endnote w:type="continuationSeparator" w:id="0">
    <w:p w:rsidR="00C50ED8" w:rsidRDefault="00C50ED8" w:rsidP="003C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37" w:rsidRDefault="004E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630" w:rsidRDefault="00A35242" w:rsidP="00260630">
    <w:pPr>
      <w:pStyle w:val="Footer"/>
      <w:tabs>
        <w:tab w:val="clear" w:pos="4513"/>
        <w:tab w:val="clear" w:pos="9026"/>
        <w:tab w:val="left" w:pos="2550"/>
      </w:tabs>
    </w:pPr>
    <w:r>
      <w:rPr>
        <w:noProof/>
        <w:lang w:eastAsia="en-AU"/>
      </w:rPr>
      <w:drawing>
        <wp:anchor distT="0" distB="0" distL="114300" distR="114300" simplePos="0" relativeHeight="251691008" behindDoc="1" locked="0" layoutInCell="1" allowOverlap="0">
          <wp:simplePos x="666750" y="9715500"/>
          <wp:positionH relativeFrom="page">
            <wp:align>left</wp:align>
          </wp:positionH>
          <wp:positionV relativeFrom="page">
            <wp:align>bottom</wp:align>
          </wp:positionV>
          <wp:extent cx="7576185" cy="665480"/>
          <wp:effectExtent l="0" t="0" r="0" b="1270"/>
          <wp:wrapNone/>
          <wp:docPr id="6" name="Picture 6" descr="Great Cities. Strong Regions. Connecting Australian." title="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76513" cy="666000"/>
                  </a:xfrm>
                  <a:prstGeom prst="rect">
                    <a:avLst/>
                  </a:prstGeom>
                </pic:spPr>
              </pic:pic>
            </a:graphicData>
          </a:graphic>
          <wp14:sizeRelH relativeFrom="margin">
            <wp14:pctWidth>0</wp14:pctWidth>
          </wp14:sizeRelH>
          <wp14:sizeRelV relativeFrom="margin">
            <wp14:pctHeight>0</wp14:pctHeight>
          </wp14:sizeRelV>
        </wp:anchor>
      </w:drawing>
    </w:r>
    <w:sdt>
      <w:sdtPr>
        <w:id w:val="258406250"/>
        <w:docPartObj>
          <w:docPartGallery w:val="Page Numbers (Bottom of Page)"/>
          <w:docPartUnique/>
        </w:docPartObj>
      </w:sdtPr>
      <w:sdtEndPr>
        <w:rPr>
          <w:noProof/>
        </w:rPr>
      </w:sdtEndPr>
      <w:sdtContent>
        <w:r w:rsidR="00260630">
          <w:fldChar w:fldCharType="begin"/>
        </w:r>
        <w:r w:rsidR="00260630">
          <w:instrText xml:space="preserve"> PAGE   \* MERGEFORMAT </w:instrText>
        </w:r>
        <w:r w:rsidR="00260630">
          <w:fldChar w:fldCharType="separate"/>
        </w:r>
        <w:r w:rsidR="001043CD">
          <w:rPr>
            <w:noProof/>
          </w:rPr>
          <w:t>4</w:t>
        </w:r>
        <w:r w:rsidR="00260630">
          <w:rPr>
            <w:noProof/>
          </w:rPr>
          <w:fldChar w:fldCharType="end"/>
        </w:r>
      </w:sdtContent>
    </w:sdt>
    <w:r w:rsidR="00260630">
      <w:rPr>
        <w:noProof/>
      </w:rPr>
      <w:tab/>
    </w:r>
  </w:p>
  <w:p w:rsidR="00AD6E3F" w:rsidRDefault="00AD6E3F" w:rsidP="00EF5353">
    <w:pPr>
      <w:pStyle w:val="Footer"/>
      <w:ind w:right="-156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748049"/>
      <w:docPartObj>
        <w:docPartGallery w:val="Page Numbers (Bottom of Page)"/>
        <w:docPartUnique/>
      </w:docPartObj>
    </w:sdtPr>
    <w:sdtEndPr>
      <w:rPr>
        <w:noProof/>
      </w:rPr>
    </w:sdtEndPr>
    <w:sdtContent>
      <w:p w:rsidR="00260630" w:rsidRDefault="00A35242">
        <w:pPr>
          <w:pStyle w:val="Footer"/>
        </w:pPr>
        <w:r>
          <w:rPr>
            <w:noProof/>
            <w:lang w:eastAsia="en-AU"/>
          </w:rPr>
          <w:drawing>
            <wp:anchor distT="0" distB="0" distL="114300" distR="114300" simplePos="0" relativeHeight="251689984" behindDoc="1" locked="0" layoutInCell="1" allowOverlap="1">
              <wp:simplePos x="666750" y="9953625"/>
              <wp:positionH relativeFrom="page">
                <wp:align>left</wp:align>
              </wp:positionH>
              <wp:positionV relativeFrom="page">
                <wp:align>bottom</wp:align>
              </wp:positionV>
              <wp:extent cx="7576513" cy="666000"/>
              <wp:effectExtent l="0" t="0" r="0" b="1270"/>
              <wp:wrapNone/>
              <wp:docPr id="4" name="Picture 4" descr="Great Cities. Strong Regions. Connecting Australian." title="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76513" cy="666000"/>
                      </a:xfrm>
                      <a:prstGeom prst="rect">
                        <a:avLst/>
                      </a:prstGeom>
                    </pic:spPr>
                  </pic:pic>
                </a:graphicData>
              </a:graphic>
              <wp14:sizeRelH relativeFrom="margin">
                <wp14:pctWidth>0</wp14:pctWidth>
              </wp14:sizeRelH>
              <wp14:sizeRelV relativeFrom="margin">
                <wp14:pctHeight>0</wp14:pctHeight>
              </wp14:sizeRelV>
            </wp:anchor>
          </w:drawing>
        </w:r>
        <w:r w:rsidR="00260630">
          <w:fldChar w:fldCharType="begin"/>
        </w:r>
        <w:r w:rsidR="00260630">
          <w:instrText xml:space="preserve"> PAGE   \* MERGEFORMAT </w:instrText>
        </w:r>
        <w:r w:rsidR="00260630">
          <w:fldChar w:fldCharType="separate"/>
        </w:r>
        <w:r w:rsidR="001043CD">
          <w:rPr>
            <w:noProof/>
          </w:rPr>
          <w:t>1</w:t>
        </w:r>
        <w:r w:rsidR="00260630">
          <w:rPr>
            <w:noProof/>
          </w:rPr>
          <w:fldChar w:fldCharType="end"/>
        </w:r>
      </w:p>
    </w:sdtContent>
  </w:sdt>
  <w:p w:rsidR="00AD6E3F" w:rsidRDefault="00AD6E3F" w:rsidP="00260630">
    <w:pPr>
      <w:pStyle w:val="Footer"/>
      <w:tabs>
        <w:tab w:val="clear" w:pos="4513"/>
        <w:tab w:val="clear" w:pos="9026"/>
        <w:tab w:val="left" w:pos="72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D8" w:rsidRDefault="00C50ED8" w:rsidP="003C4540">
      <w:pPr>
        <w:spacing w:after="0" w:line="240" w:lineRule="auto"/>
      </w:pPr>
      <w:r>
        <w:separator/>
      </w:r>
    </w:p>
  </w:footnote>
  <w:footnote w:type="continuationSeparator" w:id="0">
    <w:p w:rsidR="00C50ED8" w:rsidRDefault="00C50ED8" w:rsidP="003C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37" w:rsidRDefault="004E7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37" w:rsidRDefault="004E7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3F" w:rsidRDefault="005F13A8">
    <w:pPr>
      <w:pStyle w:val="Header"/>
    </w:pPr>
    <w:r>
      <w:rPr>
        <w:noProof/>
        <w:lang w:eastAsia="en-AU"/>
      </w:rPr>
      <w:drawing>
        <wp:anchor distT="0" distB="0" distL="114300" distR="114300" simplePos="0" relativeHeight="251687936" behindDoc="1" locked="1" layoutInCell="1" allowOverlap="1" wp14:anchorId="5E1BACE8" wp14:editId="22CE331A">
          <wp:simplePos x="0" y="0"/>
          <wp:positionH relativeFrom="page">
            <wp:align>left</wp:align>
          </wp:positionH>
          <wp:positionV relativeFrom="page">
            <wp:align>top</wp:align>
          </wp:positionV>
          <wp:extent cx="7560000" cy="1425600"/>
          <wp:effectExtent l="0" t="0" r="3175" b="3175"/>
          <wp:wrapNone/>
          <wp:docPr id="5" name="Picture 5" descr="Department of Infrastructure, Transport, Cities and Regional Development" title="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LETT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DF9"/>
    <w:multiLevelType w:val="hybridMultilevel"/>
    <w:tmpl w:val="59A4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77AE0"/>
    <w:multiLevelType w:val="hybridMultilevel"/>
    <w:tmpl w:val="BE1A71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A5144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7E2E3C"/>
    <w:multiLevelType w:val="hybridMultilevel"/>
    <w:tmpl w:val="BE1A71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31108CD"/>
    <w:multiLevelType w:val="hybridMultilevel"/>
    <w:tmpl w:val="DD42C7BA"/>
    <w:lvl w:ilvl="0" w:tplc="39305420">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E8752CF"/>
    <w:multiLevelType w:val="hybridMultilevel"/>
    <w:tmpl w:val="58869B58"/>
    <w:lvl w:ilvl="0" w:tplc="FFD8A4B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16385"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D8"/>
    <w:rsid w:val="00000347"/>
    <w:rsid w:val="00027916"/>
    <w:rsid w:val="00040EE5"/>
    <w:rsid w:val="000509D9"/>
    <w:rsid w:val="00062565"/>
    <w:rsid w:val="0007097F"/>
    <w:rsid w:val="000741A5"/>
    <w:rsid w:val="00077AD9"/>
    <w:rsid w:val="00097F0B"/>
    <w:rsid w:val="000A5BFC"/>
    <w:rsid w:val="000A6511"/>
    <w:rsid w:val="000C4BB9"/>
    <w:rsid w:val="000D442C"/>
    <w:rsid w:val="000E6776"/>
    <w:rsid w:val="000F7A71"/>
    <w:rsid w:val="001043CD"/>
    <w:rsid w:val="00116590"/>
    <w:rsid w:val="001233AF"/>
    <w:rsid w:val="001263EF"/>
    <w:rsid w:val="0014717E"/>
    <w:rsid w:val="00160ABF"/>
    <w:rsid w:val="00170F56"/>
    <w:rsid w:val="0017583F"/>
    <w:rsid w:val="00176A93"/>
    <w:rsid w:val="001B4B39"/>
    <w:rsid w:val="001B73C8"/>
    <w:rsid w:val="001C0577"/>
    <w:rsid w:val="001D070E"/>
    <w:rsid w:val="001E3F05"/>
    <w:rsid w:val="001F743A"/>
    <w:rsid w:val="002132DA"/>
    <w:rsid w:val="00231F81"/>
    <w:rsid w:val="002550D5"/>
    <w:rsid w:val="00260630"/>
    <w:rsid w:val="00260D1B"/>
    <w:rsid w:val="002921B3"/>
    <w:rsid w:val="0029638A"/>
    <w:rsid w:val="002B7AC4"/>
    <w:rsid w:val="002D44FC"/>
    <w:rsid w:val="00303798"/>
    <w:rsid w:val="003211EF"/>
    <w:rsid w:val="00330F6B"/>
    <w:rsid w:val="003447A1"/>
    <w:rsid w:val="0034724B"/>
    <w:rsid w:val="003656CA"/>
    <w:rsid w:val="00367D07"/>
    <w:rsid w:val="00371748"/>
    <w:rsid w:val="00372E7A"/>
    <w:rsid w:val="00384150"/>
    <w:rsid w:val="003A4160"/>
    <w:rsid w:val="003A60F2"/>
    <w:rsid w:val="003B2073"/>
    <w:rsid w:val="003B6CDC"/>
    <w:rsid w:val="003C0B1E"/>
    <w:rsid w:val="003C4540"/>
    <w:rsid w:val="003D2F37"/>
    <w:rsid w:val="003D4EDC"/>
    <w:rsid w:val="003D50C7"/>
    <w:rsid w:val="003E7C3D"/>
    <w:rsid w:val="003F0910"/>
    <w:rsid w:val="0040033F"/>
    <w:rsid w:val="004030BD"/>
    <w:rsid w:val="00415078"/>
    <w:rsid w:val="0041695F"/>
    <w:rsid w:val="00430972"/>
    <w:rsid w:val="0043382B"/>
    <w:rsid w:val="00434037"/>
    <w:rsid w:val="004346CD"/>
    <w:rsid w:val="00441328"/>
    <w:rsid w:val="00442C82"/>
    <w:rsid w:val="0044777A"/>
    <w:rsid w:val="004974BF"/>
    <w:rsid w:val="004A76E9"/>
    <w:rsid w:val="004B3900"/>
    <w:rsid w:val="004C0DD4"/>
    <w:rsid w:val="004E7A37"/>
    <w:rsid w:val="004F0F5E"/>
    <w:rsid w:val="004F4230"/>
    <w:rsid w:val="004F4D80"/>
    <w:rsid w:val="004F7DCC"/>
    <w:rsid w:val="00515B6B"/>
    <w:rsid w:val="005364CD"/>
    <w:rsid w:val="0054543D"/>
    <w:rsid w:val="0055088A"/>
    <w:rsid w:val="005929EF"/>
    <w:rsid w:val="005A25BE"/>
    <w:rsid w:val="005A3576"/>
    <w:rsid w:val="005A3C04"/>
    <w:rsid w:val="005B17EC"/>
    <w:rsid w:val="005B3BE2"/>
    <w:rsid w:val="005B6B59"/>
    <w:rsid w:val="005D5F02"/>
    <w:rsid w:val="005D6DAB"/>
    <w:rsid w:val="005F13A8"/>
    <w:rsid w:val="00603D91"/>
    <w:rsid w:val="006042FA"/>
    <w:rsid w:val="006069CB"/>
    <w:rsid w:val="00633A2E"/>
    <w:rsid w:val="00635ADF"/>
    <w:rsid w:val="006473EF"/>
    <w:rsid w:val="006571C8"/>
    <w:rsid w:val="00664E54"/>
    <w:rsid w:val="00665F5D"/>
    <w:rsid w:val="00676C0B"/>
    <w:rsid w:val="00685B4F"/>
    <w:rsid w:val="006A2636"/>
    <w:rsid w:val="006B2575"/>
    <w:rsid w:val="006B7E3B"/>
    <w:rsid w:val="006C0536"/>
    <w:rsid w:val="006D6DF2"/>
    <w:rsid w:val="006E7909"/>
    <w:rsid w:val="00712E9D"/>
    <w:rsid w:val="00715DF9"/>
    <w:rsid w:val="0071721F"/>
    <w:rsid w:val="0075240F"/>
    <w:rsid w:val="00766110"/>
    <w:rsid w:val="00780EB4"/>
    <w:rsid w:val="007933E8"/>
    <w:rsid w:val="007A2265"/>
    <w:rsid w:val="007A4BC0"/>
    <w:rsid w:val="007B01A2"/>
    <w:rsid w:val="007B4568"/>
    <w:rsid w:val="007B6277"/>
    <w:rsid w:val="007E26C6"/>
    <w:rsid w:val="007F255E"/>
    <w:rsid w:val="00815531"/>
    <w:rsid w:val="00825E1A"/>
    <w:rsid w:val="00840964"/>
    <w:rsid w:val="00853BC3"/>
    <w:rsid w:val="00860D96"/>
    <w:rsid w:val="00866E23"/>
    <w:rsid w:val="00875593"/>
    <w:rsid w:val="008813D9"/>
    <w:rsid w:val="00895AF8"/>
    <w:rsid w:val="00896E15"/>
    <w:rsid w:val="008B3270"/>
    <w:rsid w:val="008C0BE1"/>
    <w:rsid w:val="008C3520"/>
    <w:rsid w:val="008C7909"/>
    <w:rsid w:val="008D38D7"/>
    <w:rsid w:val="008F73C8"/>
    <w:rsid w:val="009072FA"/>
    <w:rsid w:val="00911052"/>
    <w:rsid w:val="00914D45"/>
    <w:rsid w:val="00930A2B"/>
    <w:rsid w:val="00942D9F"/>
    <w:rsid w:val="00945366"/>
    <w:rsid w:val="009707D5"/>
    <w:rsid w:val="0099053F"/>
    <w:rsid w:val="009A5661"/>
    <w:rsid w:val="009E2A16"/>
    <w:rsid w:val="00A11EB9"/>
    <w:rsid w:val="00A30127"/>
    <w:rsid w:val="00A35242"/>
    <w:rsid w:val="00A3734F"/>
    <w:rsid w:val="00A45D11"/>
    <w:rsid w:val="00A47179"/>
    <w:rsid w:val="00A54505"/>
    <w:rsid w:val="00A64956"/>
    <w:rsid w:val="00A727B5"/>
    <w:rsid w:val="00A732AF"/>
    <w:rsid w:val="00A742A4"/>
    <w:rsid w:val="00A77F3A"/>
    <w:rsid w:val="00A8301E"/>
    <w:rsid w:val="00A831CD"/>
    <w:rsid w:val="00A83B6C"/>
    <w:rsid w:val="00A908D6"/>
    <w:rsid w:val="00A94ECE"/>
    <w:rsid w:val="00AA3280"/>
    <w:rsid w:val="00AA64A9"/>
    <w:rsid w:val="00AB42A5"/>
    <w:rsid w:val="00AB4D7D"/>
    <w:rsid w:val="00AC17D0"/>
    <w:rsid w:val="00AC63F6"/>
    <w:rsid w:val="00AC76DC"/>
    <w:rsid w:val="00AD6E3F"/>
    <w:rsid w:val="00AE7935"/>
    <w:rsid w:val="00AF2086"/>
    <w:rsid w:val="00AF63C3"/>
    <w:rsid w:val="00AF74C3"/>
    <w:rsid w:val="00B00E43"/>
    <w:rsid w:val="00B2506A"/>
    <w:rsid w:val="00B3405B"/>
    <w:rsid w:val="00B356FB"/>
    <w:rsid w:val="00B402B9"/>
    <w:rsid w:val="00B41B88"/>
    <w:rsid w:val="00B53344"/>
    <w:rsid w:val="00B70742"/>
    <w:rsid w:val="00B81BB9"/>
    <w:rsid w:val="00B82387"/>
    <w:rsid w:val="00B96273"/>
    <w:rsid w:val="00BA2440"/>
    <w:rsid w:val="00BC7EB6"/>
    <w:rsid w:val="00BD3B92"/>
    <w:rsid w:val="00BD48AB"/>
    <w:rsid w:val="00BD6CE0"/>
    <w:rsid w:val="00BF771A"/>
    <w:rsid w:val="00C17BEE"/>
    <w:rsid w:val="00C313B0"/>
    <w:rsid w:val="00C33DF9"/>
    <w:rsid w:val="00C470FF"/>
    <w:rsid w:val="00C50ED8"/>
    <w:rsid w:val="00C62D4C"/>
    <w:rsid w:val="00C72E9F"/>
    <w:rsid w:val="00C852BD"/>
    <w:rsid w:val="00C90DDF"/>
    <w:rsid w:val="00C9428A"/>
    <w:rsid w:val="00CA4D92"/>
    <w:rsid w:val="00CC1493"/>
    <w:rsid w:val="00CC275A"/>
    <w:rsid w:val="00CD3D74"/>
    <w:rsid w:val="00CE1A39"/>
    <w:rsid w:val="00CF3284"/>
    <w:rsid w:val="00CF378A"/>
    <w:rsid w:val="00D766D1"/>
    <w:rsid w:val="00D91192"/>
    <w:rsid w:val="00DB0ECB"/>
    <w:rsid w:val="00DC2970"/>
    <w:rsid w:val="00DC7660"/>
    <w:rsid w:val="00DD1D42"/>
    <w:rsid w:val="00DD3951"/>
    <w:rsid w:val="00DD79A2"/>
    <w:rsid w:val="00DE6D2B"/>
    <w:rsid w:val="00E14393"/>
    <w:rsid w:val="00E160CA"/>
    <w:rsid w:val="00E274DD"/>
    <w:rsid w:val="00E41452"/>
    <w:rsid w:val="00E46E36"/>
    <w:rsid w:val="00E63EAE"/>
    <w:rsid w:val="00E77C84"/>
    <w:rsid w:val="00E87A36"/>
    <w:rsid w:val="00E93A2A"/>
    <w:rsid w:val="00EE5AE2"/>
    <w:rsid w:val="00EF5353"/>
    <w:rsid w:val="00F05339"/>
    <w:rsid w:val="00F22F63"/>
    <w:rsid w:val="00F25C8D"/>
    <w:rsid w:val="00F26907"/>
    <w:rsid w:val="00F47424"/>
    <w:rsid w:val="00F723EA"/>
    <w:rsid w:val="00F86541"/>
    <w:rsid w:val="00F94767"/>
    <w:rsid w:val="00F962D2"/>
    <w:rsid w:val="00F97314"/>
    <w:rsid w:val="00FA11A4"/>
    <w:rsid w:val="00FA166B"/>
    <w:rsid w:val="00FC797E"/>
    <w:rsid w:val="00FD7048"/>
    <w:rsid w:val="00FE251C"/>
    <w:rsid w:val="00FE3174"/>
    <w:rsid w:val="00FE3690"/>
    <w:rsid w:val="00FE39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style="mso-width-relative:margin;mso-height-relative:margin" fillcolor="white">
      <v:fill color="white"/>
    </o:shapedefaults>
    <o:shapelayout v:ext="edit">
      <o:idmap v:ext="edit" data="1"/>
    </o:shapelayout>
  </w:shapeDefaults>
  <w:decimalSymbol w:val="."/>
  <w:listSeparator w:val=","/>
  <w14:docId w14:val="5125F0C0"/>
  <w15:docId w15:val="{29247344-4D2F-4B2D-A6E1-EBE89F62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71A"/>
    <w:pPr>
      <w:spacing w:before="100" w:after="100" w:line="288" w:lineRule="auto"/>
    </w:pPr>
    <w:rPr>
      <w:sz w:val="20"/>
    </w:rPr>
  </w:style>
  <w:style w:type="paragraph" w:styleId="Heading1">
    <w:name w:val="heading 1"/>
    <w:basedOn w:val="Normal"/>
    <w:next w:val="Normal"/>
    <w:link w:val="Heading1Char"/>
    <w:uiPriority w:val="9"/>
    <w:qFormat/>
    <w:rsid w:val="007A4BC0"/>
    <w:pPr>
      <w:keepNext/>
      <w:keepLines/>
      <w:spacing w:before="400" w:line="240" w:lineRule="auto"/>
      <w:outlineLvl w:val="0"/>
    </w:pPr>
    <w:rPr>
      <w:rFonts w:asciiTheme="majorHAnsi" w:eastAsiaTheme="majorEastAsia" w:hAnsiTheme="majorHAnsi" w:cstheme="majorBidi"/>
      <w:bCs/>
      <w:color w:val="002D72"/>
      <w:sz w:val="44"/>
      <w:szCs w:val="28"/>
    </w:rPr>
  </w:style>
  <w:style w:type="paragraph" w:styleId="Heading2">
    <w:name w:val="heading 2"/>
    <w:basedOn w:val="Normal"/>
    <w:next w:val="Normal"/>
    <w:link w:val="Heading2Char"/>
    <w:uiPriority w:val="9"/>
    <w:unhideWhenUsed/>
    <w:qFormat/>
    <w:rsid w:val="00712E9D"/>
    <w:pPr>
      <w:keepNext/>
      <w:keepLines/>
      <w:spacing w:before="200" w:line="240" w:lineRule="auto"/>
      <w:outlineLvl w:val="1"/>
    </w:pPr>
    <w:rPr>
      <w:rFonts w:asciiTheme="majorHAnsi" w:eastAsiaTheme="majorEastAsia" w:hAnsiTheme="majorHAnsi" w:cstheme="majorBidi"/>
      <w:bCs/>
      <w:color w:val="002D72"/>
      <w:sz w:val="36"/>
      <w:szCs w:val="26"/>
    </w:rPr>
  </w:style>
  <w:style w:type="paragraph" w:styleId="Heading3">
    <w:name w:val="heading 3"/>
    <w:basedOn w:val="Normal"/>
    <w:next w:val="Normal"/>
    <w:link w:val="Heading3Char"/>
    <w:uiPriority w:val="9"/>
    <w:unhideWhenUsed/>
    <w:qFormat/>
    <w:rsid w:val="00712E9D"/>
    <w:pPr>
      <w:keepNext/>
      <w:keepLines/>
      <w:spacing w:before="200" w:after="0" w:line="240" w:lineRule="auto"/>
      <w:outlineLvl w:val="2"/>
    </w:pPr>
    <w:rPr>
      <w:rFonts w:ascii="Segoe UI Semibold" w:eastAsiaTheme="majorEastAsia" w:hAnsi="Segoe UI Semibold" w:cstheme="majorBidi"/>
      <w:bCs/>
      <w:color w:val="7C878E"/>
      <w:sz w:val="28"/>
    </w:rPr>
  </w:style>
  <w:style w:type="paragraph" w:styleId="Heading4">
    <w:name w:val="heading 4"/>
    <w:aliases w:val="******"/>
    <w:basedOn w:val="Normal"/>
    <w:next w:val="Normal"/>
    <w:link w:val="Heading4Char"/>
    <w:uiPriority w:val="9"/>
    <w:unhideWhenUsed/>
    <w:qFormat/>
    <w:rsid w:val="00D91192"/>
    <w:pPr>
      <w:keepNext/>
      <w:keepLines/>
      <w:spacing w:before="200" w:after="0" w:line="240" w:lineRule="auto"/>
      <w:outlineLvl w:val="3"/>
    </w:pPr>
    <w:rPr>
      <w:rFonts w:ascii="Segoe UI Semibold" w:eastAsiaTheme="majorEastAsia" w:hAnsi="Segoe UI Semibold" w:cstheme="majorBidi"/>
      <w:bCs/>
      <w:iCs/>
      <w:color w:val="7C878E"/>
      <w:sz w:val="22"/>
    </w:rPr>
  </w:style>
  <w:style w:type="paragraph" w:styleId="Heading5">
    <w:name w:val="heading 5"/>
    <w:basedOn w:val="Normal"/>
    <w:next w:val="Normal"/>
    <w:link w:val="Heading5Char"/>
    <w:uiPriority w:val="9"/>
    <w:unhideWhenUsed/>
    <w:rsid w:val="00062565"/>
    <w:pPr>
      <w:keepNext/>
      <w:keepLines/>
      <w:spacing w:beforeAutospacing="1" w:after="0" w:line="240" w:lineRule="auto"/>
      <w:outlineLvl w:val="4"/>
    </w:pPr>
    <w:rPr>
      <w:rFonts w:asciiTheme="majorHAnsi" w:eastAsiaTheme="majorEastAsia" w:hAnsiTheme="majorHAnsi" w:cstheme="majorBidi"/>
      <w:color w:val="002D72" w:themeColor="text1"/>
      <w:sz w:val="22"/>
    </w:rPr>
  </w:style>
  <w:style w:type="paragraph" w:styleId="Heading6">
    <w:name w:val="heading 6"/>
    <w:basedOn w:val="Normal"/>
    <w:next w:val="Normal"/>
    <w:link w:val="Heading6Char"/>
    <w:uiPriority w:val="9"/>
    <w:unhideWhenUsed/>
    <w:rsid w:val="00062565"/>
    <w:pPr>
      <w:keepNext/>
      <w:keepLines/>
      <w:spacing w:before="40" w:after="0"/>
      <w:outlineLvl w:val="5"/>
    </w:pPr>
    <w:rPr>
      <w:rFonts w:asciiTheme="majorHAnsi" w:eastAsiaTheme="majorEastAsia" w:hAnsiTheme="majorHAnsi" w:cstheme="majorBidi"/>
      <w:i/>
      <w:color w:val="002D72" w:themeColor="text1"/>
      <w:sz w:val="22"/>
    </w:rPr>
  </w:style>
  <w:style w:type="paragraph" w:styleId="Heading7">
    <w:name w:val="heading 7"/>
    <w:basedOn w:val="Normal"/>
    <w:next w:val="Normal"/>
    <w:link w:val="Heading7Char"/>
    <w:uiPriority w:val="9"/>
    <w:unhideWhenUsed/>
    <w:rsid w:val="00062565"/>
    <w:pPr>
      <w:keepNext/>
      <w:keepLines/>
      <w:spacing w:before="40" w:after="0"/>
      <w:outlineLvl w:val="6"/>
    </w:pPr>
    <w:rPr>
      <w:rFonts w:asciiTheme="majorHAnsi" w:eastAsiaTheme="majorEastAsia" w:hAnsiTheme="majorHAnsi" w:cstheme="majorBidi"/>
      <w:iCs/>
      <w:color w:val="002D72" w:themeColor="text1"/>
    </w:rPr>
  </w:style>
  <w:style w:type="paragraph" w:styleId="Heading8">
    <w:name w:val="heading 8"/>
    <w:basedOn w:val="Normal"/>
    <w:next w:val="Normal"/>
    <w:link w:val="Heading8Char"/>
    <w:uiPriority w:val="9"/>
    <w:unhideWhenUsed/>
    <w:rsid w:val="00062565"/>
    <w:pPr>
      <w:keepNext/>
      <w:keepLines/>
      <w:spacing w:before="40" w:after="0"/>
      <w:outlineLvl w:val="7"/>
    </w:pPr>
    <w:rPr>
      <w:rFonts w:asciiTheme="majorHAnsi" w:eastAsiaTheme="majorEastAsia" w:hAnsiTheme="majorHAnsi" w:cstheme="majorBidi"/>
      <w:i/>
      <w:color w:val="002D72"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540"/>
  </w:style>
  <w:style w:type="paragraph" w:styleId="Footer">
    <w:name w:val="footer"/>
    <w:basedOn w:val="Normal"/>
    <w:link w:val="FooterChar"/>
    <w:uiPriority w:val="99"/>
    <w:unhideWhenUsed/>
    <w:rsid w:val="003C4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540"/>
  </w:style>
  <w:style w:type="paragraph" w:styleId="BalloonText">
    <w:name w:val="Balloon Text"/>
    <w:basedOn w:val="Normal"/>
    <w:link w:val="BalloonTextChar"/>
    <w:uiPriority w:val="99"/>
    <w:semiHidden/>
    <w:unhideWhenUsed/>
    <w:rsid w:val="003C4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540"/>
    <w:rPr>
      <w:rFonts w:ascii="Tahoma" w:hAnsi="Tahoma" w:cs="Tahoma"/>
      <w:sz w:val="16"/>
      <w:szCs w:val="16"/>
    </w:rPr>
  </w:style>
  <w:style w:type="paragraph" w:customStyle="1" w:styleId="BasicParagraph">
    <w:name w:val="[Basic Paragraph]"/>
    <w:basedOn w:val="Normal"/>
    <w:uiPriority w:val="99"/>
    <w:rsid w:val="007A4BC0"/>
    <w:pPr>
      <w:autoSpaceDE w:val="0"/>
      <w:autoSpaceDN w:val="0"/>
      <w:adjustRightInd w:val="0"/>
      <w:spacing w:after="0"/>
      <w:textAlignment w:val="center"/>
    </w:pPr>
    <w:rPr>
      <w:rFonts w:cs="MinionPro-Regular"/>
      <w:color w:val="000000"/>
      <w:szCs w:val="24"/>
      <w:lang w:val="en-GB"/>
    </w:rPr>
  </w:style>
  <w:style w:type="paragraph" w:styleId="Subtitle">
    <w:name w:val="Subtitle"/>
    <w:aliases w:val="Issue No"/>
    <w:basedOn w:val="Normal"/>
    <w:next w:val="Normal"/>
    <w:link w:val="SubtitleChar"/>
    <w:uiPriority w:val="11"/>
    <w:rsid w:val="00AC63F6"/>
    <w:pPr>
      <w:numPr>
        <w:ilvl w:val="1"/>
      </w:numPr>
      <w:spacing w:after="120" w:line="240" w:lineRule="auto"/>
      <w:jc w:val="right"/>
    </w:pPr>
    <w:rPr>
      <w:rFonts w:eastAsiaTheme="majorEastAsia" w:cstheme="majorBidi"/>
      <w:iCs/>
      <w:color w:val="FFFFFF" w:themeColor="background1"/>
      <w:spacing w:val="20"/>
      <w:szCs w:val="24"/>
    </w:rPr>
  </w:style>
  <w:style w:type="character" w:customStyle="1" w:styleId="SubtitleChar">
    <w:name w:val="Subtitle Char"/>
    <w:aliases w:val="Issue No Char"/>
    <w:basedOn w:val="DefaultParagraphFont"/>
    <w:link w:val="Subtitle"/>
    <w:uiPriority w:val="11"/>
    <w:rsid w:val="00AC63F6"/>
    <w:rPr>
      <w:rFonts w:ascii="Arial" w:eastAsiaTheme="majorEastAsia" w:hAnsi="Arial" w:cstheme="majorBidi"/>
      <w:iCs/>
      <w:color w:val="FFFFFF" w:themeColor="background1"/>
      <w:spacing w:val="20"/>
      <w:sz w:val="20"/>
      <w:szCs w:val="24"/>
    </w:rPr>
  </w:style>
  <w:style w:type="paragraph" w:styleId="NoSpacing">
    <w:name w:val="No Spacing"/>
    <w:uiPriority w:val="1"/>
    <w:qFormat/>
    <w:rsid w:val="001E3F05"/>
    <w:pPr>
      <w:spacing w:after="0" w:line="240" w:lineRule="auto"/>
    </w:pPr>
    <w:rPr>
      <w:sz w:val="20"/>
    </w:rPr>
  </w:style>
  <w:style w:type="character" w:styleId="SubtleEmphasis">
    <w:name w:val="Subtle Emphasis"/>
    <w:basedOn w:val="DefaultParagraphFont"/>
    <w:uiPriority w:val="19"/>
    <w:qFormat/>
    <w:rsid w:val="007A4BC0"/>
    <w:rPr>
      <w:rFonts w:ascii="Segoe UI Semibold" w:hAnsi="Segoe UI Semibold"/>
      <w:b w:val="0"/>
      <w:i w:val="0"/>
      <w:iCs/>
      <w:color w:val="auto"/>
    </w:rPr>
  </w:style>
  <w:style w:type="character" w:styleId="Emphasis">
    <w:name w:val="Emphasis"/>
    <w:basedOn w:val="DefaultParagraphFont"/>
    <w:uiPriority w:val="20"/>
    <w:qFormat/>
    <w:rsid w:val="007A4BC0"/>
    <w:rPr>
      <w:b/>
      <w:i w:val="0"/>
      <w:iCs/>
    </w:rPr>
  </w:style>
  <w:style w:type="paragraph" w:styleId="Quote">
    <w:name w:val="Quote"/>
    <w:aliases w:val="Classification"/>
    <w:basedOn w:val="Normal"/>
    <w:next w:val="Normal"/>
    <w:link w:val="QuoteChar"/>
    <w:uiPriority w:val="29"/>
    <w:rsid w:val="00B3405B"/>
    <w:pPr>
      <w:spacing w:after="0"/>
      <w:jc w:val="center"/>
    </w:pPr>
    <w:rPr>
      <w:rFonts w:ascii="Arial Narrow" w:hAnsi="Arial Narrow"/>
      <w:iCs/>
      <w:color w:val="FFFFFF" w:themeColor="background1"/>
      <w:sz w:val="28"/>
    </w:rPr>
  </w:style>
  <w:style w:type="character" w:customStyle="1" w:styleId="QuoteChar">
    <w:name w:val="Quote Char"/>
    <w:aliases w:val="Classification Char"/>
    <w:basedOn w:val="DefaultParagraphFont"/>
    <w:link w:val="Quote"/>
    <w:uiPriority w:val="29"/>
    <w:rsid w:val="00B3405B"/>
    <w:rPr>
      <w:rFonts w:ascii="Arial Narrow" w:hAnsi="Arial Narrow"/>
      <w:iCs/>
      <w:color w:val="FFFFFF" w:themeColor="background1"/>
      <w:sz w:val="28"/>
    </w:rPr>
  </w:style>
  <w:style w:type="character" w:customStyle="1" w:styleId="Heading1Char">
    <w:name w:val="Heading 1 Char"/>
    <w:basedOn w:val="DefaultParagraphFont"/>
    <w:link w:val="Heading1"/>
    <w:uiPriority w:val="9"/>
    <w:rsid w:val="007A4BC0"/>
    <w:rPr>
      <w:rFonts w:asciiTheme="majorHAnsi" w:eastAsiaTheme="majorEastAsia" w:hAnsiTheme="majorHAnsi" w:cstheme="majorBidi"/>
      <w:bCs/>
      <w:color w:val="002D72"/>
      <w:sz w:val="44"/>
      <w:szCs w:val="28"/>
    </w:rPr>
  </w:style>
  <w:style w:type="character" w:customStyle="1" w:styleId="Heading2Char">
    <w:name w:val="Heading 2 Char"/>
    <w:basedOn w:val="DefaultParagraphFont"/>
    <w:link w:val="Heading2"/>
    <w:uiPriority w:val="9"/>
    <w:rsid w:val="00712E9D"/>
    <w:rPr>
      <w:rFonts w:asciiTheme="majorHAnsi" w:eastAsiaTheme="majorEastAsia" w:hAnsiTheme="majorHAnsi" w:cstheme="majorBidi"/>
      <w:bCs/>
      <w:color w:val="002D72"/>
      <w:sz w:val="36"/>
      <w:szCs w:val="26"/>
    </w:rPr>
  </w:style>
  <w:style w:type="character" w:customStyle="1" w:styleId="Heading3Char">
    <w:name w:val="Heading 3 Char"/>
    <w:basedOn w:val="DefaultParagraphFont"/>
    <w:link w:val="Heading3"/>
    <w:uiPriority w:val="9"/>
    <w:rsid w:val="00712E9D"/>
    <w:rPr>
      <w:rFonts w:ascii="Segoe UI Semibold" w:eastAsiaTheme="majorEastAsia" w:hAnsi="Segoe UI Semibold" w:cstheme="majorBidi"/>
      <w:bCs/>
      <w:color w:val="7C878E"/>
      <w:sz w:val="28"/>
    </w:rPr>
  </w:style>
  <w:style w:type="paragraph" w:styleId="ListParagraph">
    <w:name w:val="List Paragraph"/>
    <w:aliases w:val="Bullets"/>
    <w:basedOn w:val="Normal"/>
    <w:uiPriority w:val="34"/>
    <w:qFormat/>
    <w:rsid w:val="00BF771A"/>
    <w:pPr>
      <w:numPr>
        <w:numId w:val="2"/>
      </w:numPr>
      <w:ind w:left="284" w:hanging="284"/>
      <w:contextualSpacing/>
    </w:pPr>
  </w:style>
  <w:style w:type="character" w:customStyle="1" w:styleId="Heading4Char">
    <w:name w:val="Heading 4 Char"/>
    <w:aliases w:val="****** Char"/>
    <w:basedOn w:val="DefaultParagraphFont"/>
    <w:link w:val="Heading4"/>
    <w:uiPriority w:val="9"/>
    <w:rsid w:val="00D91192"/>
    <w:rPr>
      <w:rFonts w:ascii="Segoe UI Semibold" w:eastAsiaTheme="majorEastAsia" w:hAnsi="Segoe UI Semibold" w:cstheme="majorBidi"/>
      <w:bCs/>
      <w:iCs/>
      <w:color w:val="7C878E"/>
    </w:rPr>
  </w:style>
  <w:style w:type="character" w:customStyle="1" w:styleId="Heading5Char">
    <w:name w:val="Heading 5 Char"/>
    <w:basedOn w:val="DefaultParagraphFont"/>
    <w:link w:val="Heading5"/>
    <w:uiPriority w:val="9"/>
    <w:rsid w:val="00062565"/>
    <w:rPr>
      <w:rFonts w:asciiTheme="majorHAnsi" w:eastAsiaTheme="majorEastAsia" w:hAnsiTheme="majorHAnsi" w:cstheme="majorBidi"/>
      <w:color w:val="002D72" w:themeColor="text1"/>
    </w:rPr>
  </w:style>
  <w:style w:type="paragraph" w:styleId="Title">
    <w:name w:val="Title"/>
    <w:basedOn w:val="Normal"/>
    <w:next w:val="Normal"/>
    <w:link w:val="TitleChar"/>
    <w:uiPriority w:val="10"/>
    <w:rsid w:val="00E14393"/>
    <w:pPr>
      <w:spacing w:before="0" w:after="120" w:line="440" w:lineRule="exact"/>
      <w:contextualSpacing/>
    </w:pPr>
    <w:rPr>
      <w:rFonts w:eastAsiaTheme="majorEastAsia" w:cstheme="majorBidi"/>
      <w:color w:val="002D72" w:themeColor="text1"/>
      <w:spacing w:val="5"/>
      <w:kern w:val="28"/>
      <w:sz w:val="44"/>
      <w:szCs w:val="52"/>
    </w:rPr>
  </w:style>
  <w:style w:type="character" w:customStyle="1" w:styleId="TitleChar">
    <w:name w:val="Title Char"/>
    <w:basedOn w:val="DefaultParagraphFont"/>
    <w:link w:val="Title"/>
    <w:uiPriority w:val="10"/>
    <w:rsid w:val="00E14393"/>
    <w:rPr>
      <w:rFonts w:eastAsiaTheme="majorEastAsia" w:cstheme="majorBidi"/>
      <w:color w:val="002D72" w:themeColor="text1"/>
      <w:spacing w:val="5"/>
      <w:kern w:val="28"/>
      <w:sz w:val="44"/>
      <w:szCs w:val="52"/>
    </w:rPr>
  </w:style>
  <w:style w:type="character" w:styleId="BookTitle">
    <w:name w:val="Book Title"/>
    <w:basedOn w:val="DefaultParagraphFont"/>
    <w:uiPriority w:val="33"/>
    <w:rsid w:val="003C0B1E"/>
    <w:rPr>
      <w:rFonts w:ascii="Arial" w:hAnsi="Arial"/>
      <w:b/>
      <w:bCs/>
      <w:color w:val="FFFFFF" w:themeColor="background1"/>
      <w:spacing w:val="5"/>
      <w:sz w:val="34"/>
    </w:rPr>
  </w:style>
  <w:style w:type="table" w:styleId="TableGrid">
    <w:name w:val="Table Grid"/>
    <w:basedOn w:val="TableNormal"/>
    <w:uiPriority w:val="59"/>
    <w:rsid w:val="006B2575"/>
    <w:pPr>
      <w:spacing w:after="0" w:line="240" w:lineRule="auto"/>
    </w:pPr>
    <w:tblPr>
      <w:tblBorders>
        <w:top w:val="single" w:sz="4" w:space="0" w:color="002D72" w:themeColor="text1"/>
        <w:left w:val="single" w:sz="4" w:space="0" w:color="002D72" w:themeColor="text1"/>
        <w:bottom w:val="single" w:sz="4" w:space="0" w:color="002D72" w:themeColor="text1"/>
        <w:right w:val="single" w:sz="4" w:space="0" w:color="002D72" w:themeColor="text1"/>
        <w:insideH w:val="single" w:sz="4" w:space="0" w:color="002D72" w:themeColor="text1"/>
        <w:insideV w:val="single" w:sz="4" w:space="0" w:color="002D72" w:themeColor="text1"/>
      </w:tblBorders>
    </w:tblPr>
  </w:style>
  <w:style w:type="table" w:customStyle="1" w:styleId="LightShading-Accent11">
    <w:name w:val="Light Shading - Accent 11"/>
    <w:basedOn w:val="TableNormal"/>
    <w:uiPriority w:val="60"/>
    <w:rsid w:val="002D44FC"/>
    <w:pPr>
      <w:spacing w:after="0" w:line="240" w:lineRule="auto"/>
    </w:pPr>
    <w:rPr>
      <w:color w:val="002155" w:themeColor="accent1" w:themeShade="BF"/>
    </w:rPr>
    <w:tblPr>
      <w:tblStyleRowBandSize w:val="1"/>
      <w:tblStyleColBandSize w:val="1"/>
      <w:tblBorders>
        <w:top w:val="single" w:sz="8" w:space="0" w:color="002D72" w:themeColor="accent1"/>
        <w:bottom w:val="single" w:sz="8" w:space="0" w:color="002D72" w:themeColor="accent1"/>
      </w:tblBorders>
    </w:tblPr>
    <w:tblStylePr w:type="fir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la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3FF" w:themeFill="accent1" w:themeFillTint="3F"/>
      </w:tcPr>
    </w:tblStylePr>
    <w:tblStylePr w:type="band1Horz">
      <w:tblPr/>
      <w:tcPr>
        <w:tcBorders>
          <w:left w:val="nil"/>
          <w:right w:val="nil"/>
          <w:insideH w:val="nil"/>
          <w:insideV w:val="nil"/>
        </w:tcBorders>
        <w:shd w:val="clear" w:color="auto" w:fill="9DC3FF" w:themeFill="accent1" w:themeFillTint="3F"/>
      </w:tcPr>
    </w:tblStylePr>
  </w:style>
  <w:style w:type="table" w:customStyle="1" w:styleId="LightShading1">
    <w:name w:val="Light Shading1"/>
    <w:basedOn w:val="TableNormal"/>
    <w:uiPriority w:val="60"/>
    <w:rsid w:val="006B2575"/>
    <w:pPr>
      <w:spacing w:after="0" w:line="240" w:lineRule="auto"/>
    </w:pPr>
    <w:rPr>
      <w:color w:val="002155" w:themeColor="text1" w:themeShade="BF"/>
    </w:rPr>
    <w:tblPr>
      <w:tblStyleRowBandSize w:val="1"/>
      <w:tblStyleColBandSize w:val="1"/>
      <w:tblBorders>
        <w:top w:val="single" w:sz="8" w:space="0" w:color="002D72" w:themeColor="text1"/>
        <w:bottom w:val="single" w:sz="8" w:space="0" w:color="002D72" w:themeColor="text1"/>
      </w:tblBorders>
    </w:tblPr>
    <w:tblStylePr w:type="firstRow">
      <w:pPr>
        <w:spacing w:before="0" w:after="0" w:line="240" w:lineRule="auto"/>
      </w:pPr>
      <w:rPr>
        <w:b/>
        <w:bCs/>
      </w:rPr>
      <w:tblPr/>
      <w:tcPr>
        <w:tcBorders>
          <w:top w:val="single" w:sz="8" w:space="0" w:color="002D72" w:themeColor="text1"/>
          <w:left w:val="nil"/>
          <w:bottom w:val="single" w:sz="8" w:space="0" w:color="002D72" w:themeColor="text1"/>
          <w:right w:val="nil"/>
          <w:insideH w:val="nil"/>
          <w:insideV w:val="nil"/>
        </w:tcBorders>
      </w:tcPr>
    </w:tblStylePr>
    <w:tblStylePr w:type="lastRow">
      <w:pPr>
        <w:spacing w:before="0" w:after="0" w:line="240" w:lineRule="auto"/>
      </w:pPr>
      <w:rPr>
        <w:b/>
        <w:bCs/>
      </w:rPr>
      <w:tblPr/>
      <w:tcPr>
        <w:tcBorders>
          <w:top w:val="single" w:sz="8" w:space="0" w:color="002D72" w:themeColor="text1"/>
          <w:left w:val="nil"/>
          <w:bottom w:val="single" w:sz="8" w:space="0" w:color="002D7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3FF" w:themeFill="text1" w:themeFillTint="3F"/>
      </w:tcPr>
    </w:tblStylePr>
    <w:tblStylePr w:type="band1Horz">
      <w:tblPr/>
      <w:tcPr>
        <w:tcBorders>
          <w:left w:val="nil"/>
          <w:right w:val="nil"/>
          <w:insideH w:val="nil"/>
          <w:insideV w:val="nil"/>
        </w:tcBorders>
        <w:shd w:val="clear" w:color="auto" w:fill="9DC3FF" w:themeFill="text1" w:themeFillTint="3F"/>
      </w:tcPr>
    </w:tblStylePr>
  </w:style>
  <w:style w:type="table" w:styleId="LightShading-Accent5">
    <w:name w:val="Light Shading Accent 5"/>
    <w:basedOn w:val="TableNormal"/>
    <w:uiPriority w:val="60"/>
    <w:rsid w:val="006B2575"/>
    <w:pPr>
      <w:spacing w:after="0" w:line="240" w:lineRule="auto"/>
    </w:pPr>
    <w:rPr>
      <w:rFonts w:ascii="Arial" w:hAnsi="Arial"/>
      <w:color w:val="0043AD" w:themeColor="text1" w:themeTint="D9"/>
    </w:rPr>
    <w:tblPr>
      <w:tblStyleRowBandSize w:val="1"/>
      <w:tblStyleColBandSize w:val="1"/>
      <w:tblBorders>
        <w:top w:val="single" w:sz="8" w:space="0" w:color="007DC3"/>
        <w:bottom w:val="single" w:sz="8" w:space="0" w:color="007DC3"/>
      </w:tblBorders>
    </w:tblPr>
    <w:tcPr>
      <w:shd w:val="clear" w:color="auto" w:fill="auto"/>
    </w:tcPr>
    <w:tblStylePr w:type="firstRow">
      <w:pPr>
        <w:spacing w:before="0" w:after="0" w:line="240" w:lineRule="auto"/>
      </w:pPr>
      <w:rPr>
        <w:b/>
        <w:bCs/>
      </w:rPr>
      <w:tblPr/>
      <w:tcPr>
        <w:tcBorders>
          <w:top w:val="single" w:sz="8" w:space="0" w:color="FA4616" w:themeColor="accent5"/>
          <w:left w:val="nil"/>
          <w:bottom w:val="single" w:sz="8" w:space="0" w:color="FA4616" w:themeColor="accent5"/>
          <w:right w:val="nil"/>
          <w:insideH w:val="nil"/>
          <w:insideV w:val="nil"/>
        </w:tcBorders>
      </w:tcPr>
    </w:tblStylePr>
    <w:tblStylePr w:type="lastRow">
      <w:pPr>
        <w:spacing w:before="0" w:after="0" w:line="240" w:lineRule="auto"/>
      </w:pPr>
      <w:rPr>
        <w:b/>
        <w:bCs/>
      </w:rPr>
      <w:tblPr/>
      <w:tcPr>
        <w:tcBorders>
          <w:top w:val="single" w:sz="8" w:space="0" w:color="FA4616" w:themeColor="accent5"/>
          <w:left w:val="nil"/>
          <w:bottom w:val="single" w:sz="8" w:space="0" w:color="FA46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0C5" w:themeFill="accent5" w:themeFillTint="3F"/>
      </w:tcPr>
    </w:tblStylePr>
    <w:tblStylePr w:type="band1Horz">
      <w:tblPr/>
      <w:tcPr>
        <w:tcBorders>
          <w:left w:val="nil"/>
          <w:right w:val="nil"/>
          <w:insideH w:val="nil"/>
          <w:insideV w:val="nil"/>
        </w:tcBorders>
        <w:shd w:val="clear" w:color="auto" w:fill="FDD0C5" w:themeFill="accent5" w:themeFillTint="3F"/>
      </w:tcPr>
    </w:tblStylePr>
  </w:style>
  <w:style w:type="paragraph" w:customStyle="1" w:styleId="Tabletext">
    <w:name w:val="Table text"/>
    <w:basedOn w:val="Normal"/>
    <w:qFormat/>
    <w:rsid w:val="00C90DDF"/>
    <w:pPr>
      <w:spacing w:before="80" w:after="40" w:line="240" w:lineRule="auto"/>
    </w:pPr>
    <w:rPr>
      <w:bCs/>
      <w:sz w:val="18"/>
    </w:rPr>
  </w:style>
  <w:style w:type="paragraph" w:customStyle="1" w:styleId="Note">
    <w:name w:val="Note:"/>
    <w:basedOn w:val="Normal"/>
    <w:qFormat/>
    <w:rsid w:val="00942D9F"/>
    <w:pPr>
      <w:spacing w:before="0" w:after="160"/>
    </w:pPr>
    <w:rPr>
      <w:sz w:val="14"/>
    </w:rPr>
  </w:style>
  <w:style w:type="paragraph" w:customStyle="1" w:styleId="NormalRule">
    <w:name w:val="Normal Rule"/>
    <w:basedOn w:val="Normal"/>
    <w:qFormat/>
    <w:rsid w:val="00A727B5"/>
    <w:pPr>
      <w:pBdr>
        <w:bottom w:val="single" w:sz="2" w:space="1" w:color="808080" w:themeColor="background1" w:themeShade="80"/>
      </w:pBdr>
      <w:spacing w:after="240"/>
    </w:pPr>
  </w:style>
  <w:style w:type="paragraph" w:customStyle="1" w:styleId="Bullet">
    <w:name w:val="Bullet"/>
    <w:basedOn w:val="ListParagraph"/>
    <w:rsid w:val="00BF771A"/>
    <w:pPr>
      <w:numPr>
        <w:numId w:val="3"/>
      </w:numPr>
      <w:spacing w:before="60" w:after="60"/>
      <w:ind w:left="284" w:hanging="284"/>
    </w:pPr>
  </w:style>
  <w:style w:type="character" w:customStyle="1" w:styleId="Heading6Char">
    <w:name w:val="Heading 6 Char"/>
    <w:basedOn w:val="DefaultParagraphFont"/>
    <w:link w:val="Heading6"/>
    <w:uiPriority w:val="9"/>
    <w:rsid w:val="00062565"/>
    <w:rPr>
      <w:rFonts w:asciiTheme="majorHAnsi" w:eastAsiaTheme="majorEastAsia" w:hAnsiTheme="majorHAnsi" w:cstheme="majorBidi"/>
      <w:i/>
      <w:color w:val="002D72" w:themeColor="text1"/>
    </w:rPr>
  </w:style>
  <w:style w:type="table" w:styleId="LightShading-Accent3">
    <w:name w:val="Light Shading Accent 3"/>
    <w:basedOn w:val="TableNormal"/>
    <w:uiPriority w:val="60"/>
    <w:rsid w:val="00F47424"/>
    <w:pPr>
      <w:spacing w:after="0" w:line="240" w:lineRule="auto"/>
    </w:pPr>
    <w:rPr>
      <w:color w:val="628D00" w:themeColor="accent3" w:themeShade="BF"/>
    </w:rPr>
    <w:tblPr>
      <w:tblStyleRowBandSize w:val="1"/>
      <w:tblStyleColBandSize w:val="1"/>
      <w:tblBorders>
        <w:top w:val="single" w:sz="8" w:space="0" w:color="84BD00" w:themeColor="accent3"/>
        <w:bottom w:val="single" w:sz="8" w:space="0" w:color="84BD00" w:themeColor="accent3"/>
      </w:tblBorders>
    </w:tblPr>
    <w:tblStylePr w:type="firstRow">
      <w:pPr>
        <w:spacing w:before="0" w:after="0" w:line="240" w:lineRule="auto"/>
      </w:pPr>
      <w:rPr>
        <w:b/>
        <w:bCs/>
      </w:rPr>
      <w:tblPr/>
      <w:tcPr>
        <w:tcBorders>
          <w:top w:val="single" w:sz="8" w:space="0" w:color="84BD00" w:themeColor="accent3"/>
          <w:left w:val="nil"/>
          <w:bottom w:val="single" w:sz="8" w:space="0" w:color="84BD00" w:themeColor="accent3"/>
          <w:right w:val="nil"/>
          <w:insideH w:val="nil"/>
          <w:insideV w:val="nil"/>
        </w:tcBorders>
      </w:tcPr>
    </w:tblStylePr>
    <w:tblStylePr w:type="lastRow">
      <w:pPr>
        <w:spacing w:before="0" w:after="0" w:line="240" w:lineRule="auto"/>
      </w:pPr>
      <w:rPr>
        <w:b/>
        <w:bCs/>
      </w:rPr>
      <w:tblPr/>
      <w:tcPr>
        <w:tcBorders>
          <w:top w:val="single" w:sz="8" w:space="0" w:color="84BD00" w:themeColor="accent3"/>
          <w:left w:val="nil"/>
          <w:bottom w:val="single" w:sz="8" w:space="0" w:color="84B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FAF" w:themeFill="accent3" w:themeFillTint="3F"/>
      </w:tcPr>
    </w:tblStylePr>
    <w:tblStylePr w:type="band1Horz">
      <w:tblPr/>
      <w:tcPr>
        <w:tcBorders>
          <w:left w:val="nil"/>
          <w:right w:val="nil"/>
          <w:insideH w:val="nil"/>
          <w:insideV w:val="nil"/>
        </w:tcBorders>
        <w:shd w:val="clear" w:color="auto" w:fill="E7FFAF" w:themeFill="accent3" w:themeFillTint="3F"/>
      </w:tcPr>
    </w:tblStylePr>
  </w:style>
  <w:style w:type="table" w:styleId="LightShading-Accent1">
    <w:name w:val="Light Shading Accent 1"/>
    <w:basedOn w:val="TableNormal"/>
    <w:uiPriority w:val="60"/>
    <w:rsid w:val="00AD6E3F"/>
    <w:pPr>
      <w:spacing w:after="0" w:line="240" w:lineRule="auto"/>
    </w:pPr>
    <w:rPr>
      <w:color w:val="002155" w:themeColor="accent1" w:themeShade="BF"/>
    </w:rPr>
    <w:tblPr>
      <w:tblStyleRowBandSize w:val="1"/>
      <w:tblStyleColBandSize w:val="1"/>
      <w:tblBorders>
        <w:top w:val="single" w:sz="8" w:space="0" w:color="002D72" w:themeColor="accent1"/>
        <w:bottom w:val="single" w:sz="8" w:space="0" w:color="002D72" w:themeColor="accent1"/>
      </w:tblBorders>
    </w:tblPr>
    <w:tblStylePr w:type="fir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la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3FF" w:themeFill="accent1" w:themeFillTint="3F"/>
      </w:tcPr>
    </w:tblStylePr>
    <w:tblStylePr w:type="band1Horz">
      <w:tblPr/>
      <w:tcPr>
        <w:tcBorders>
          <w:left w:val="nil"/>
          <w:right w:val="nil"/>
          <w:insideH w:val="nil"/>
          <w:insideV w:val="nil"/>
        </w:tcBorders>
        <w:shd w:val="clear" w:color="auto" w:fill="9DC3FF" w:themeFill="accent1" w:themeFillTint="3F"/>
      </w:tcPr>
    </w:tblStylePr>
  </w:style>
  <w:style w:type="paragraph" w:customStyle="1" w:styleId="Listfiguretableheading">
    <w:name w:val="List/figure/table heading"/>
    <w:basedOn w:val="Heading2"/>
    <w:qFormat/>
    <w:rsid w:val="000A5BFC"/>
    <w:rPr>
      <w:sz w:val="24"/>
    </w:rPr>
  </w:style>
  <w:style w:type="paragraph" w:customStyle="1" w:styleId="TableHeading">
    <w:name w:val="Table Heading"/>
    <w:basedOn w:val="Tabletext"/>
    <w:qFormat/>
    <w:rsid w:val="00911052"/>
    <w:rPr>
      <w:rFonts w:ascii="Segoe UI Semibold" w:hAnsi="Segoe UI Semibold"/>
      <w:bCs w:val="0"/>
      <w:color w:val="002D72"/>
    </w:rPr>
  </w:style>
  <w:style w:type="character" w:styleId="Hyperlink">
    <w:name w:val="Hyperlink"/>
    <w:basedOn w:val="DefaultParagraphFont"/>
    <w:uiPriority w:val="99"/>
    <w:rsid w:val="008C0BE1"/>
    <w:rPr>
      <w:color w:val="0000FF"/>
      <w:u w:val="single"/>
    </w:rPr>
  </w:style>
  <w:style w:type="paragraph" w:styleId="MessageHeader">
    <w:name w:val="Message Header"/>
    <w:aliases w:val="Boxed text"/>
    <w:basedOn w:val="Normal"/>
    <w:next w:val="Normal"/>
    <w:link w:val="MessageHeaderChar"/>
    <w:uiPriority w:val="99"/>
    <w:unhideWhenUsed/>
    <w:qFormat/>
    <w:rsid w:val="008C0BE1"/>
    <w:pPr>
      <w:pBdr>
        <w:top w:val="single" w:sz="48" w:space="4" w:color="E4E6E8" w:themeColor="text2" w:themeTint="33"/>
        <w:left w:val="single" w:sz="48" w:space="4" w:color="E4E6E8" w:themeColor="text2" w:themeTint="33"/>
        <w:bottom w:val="single" w:sz="48" w:space="5" w:color="E4E6E8" w:themeColor="text2" w:themeTint="33"/>
        <w:right w:val="single" w:sz="48" w:space="4" w:color="E4E6E8" w:themeColor="text2" w:themeTint="33"/>
      </w:pBdr>
      <w:shd w:val="solid" w:color="E4E6E8" w:themeColor="text2" w:themeTint="33" w:fill="auto"/>
      <w:suppressAutoHyphens/>
      <w:autoSpaceDE w:val="0"/>
      <w:autoSpaceDN w:val="0"/>
      <w:adjustRightInd w:val="0"/>
      <w:spacing w:before="240" w:after="240" w:line="240" w:lineRule="auto"/>
      <w:ind w:left="80" w:right="80"/>
      <w:textAlignment w:val="center"/>
    </w:pPr>
    <w:rPr>
      <w:rFonts w:eastAsiaTheme="majorEastAsia" w:cstheme="majorBidi"/>
      <w:color w:val="000000"/>
      <w:szCs w:val="24"/>
      <w:lang w:val="en-US"/>
    </w:rPr>
  </w:style>
  <w:style w:type="character" w:customStyle="1" w:styleId="MessageHeaderChar">
    <w:name w:val="Message Header Char"/>
    <w:aliases w:val="Boxed text Char"/>
    <w:basedOn w:val="DefaultParagraphFont"/>
    <w:link w:val="MessageHeader"/>
    <w:uiPriority w:val="99"/>
    <w:rsid w:val="008C0BE1"/>
    <w:rPr>
      <w:rFonts w:ascii="Arial" w:eastAsiaTheme="majorEastAsia" w:hAnsi="Arial" w:cstheme="majorBidi"/>
      <w:color w:val="000000"/>
      <w:sz w:val="20"/>
      <w:szCs w:val="24"/>
      <w:shd w:val="solid" w:color="E4E6E8" w:themeColor="text2" w:themeTint="33" w:fill="auto"/>
      <w:lang w:val="en-US"/>
    </w:rPr>
  </w:style>
  <w:style w:type="character" w:styleId="FollowedHyperlink">
    <w:name w:val="FollowedHyperlink"/>
    <w:basedOn w:val="DefaultParagraphFont"/>
    <w:uiPriority w:val="99"/>
    <w:semiHidden/>
    <w:unhideWhenUsed/>
    <w:rsid w:val="00AF63C3"/>
    <w:rPr>
      <w:color w:val="7C878E" w:themeColor="followedHyperlink"/>
      <w:u w:val="single"/>
    </w:rPr>
  </w:style>
  <w:style w:type="table" w:styleId="TableGridLight">
    <w:name w:val="Grid Table Light"/>
    <w:basedOn w:val="TableNormal"/>
    <w:uiPriority w:val="40"/>
    <w:rsid w:val="002D44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D44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D44FC"/>
    <w:pPr>
      <w:spacing w:after="0" w:line="240" w:lineRule="auto"/>
    </w:pPr>
    <w:tblPr>
      <w:tblStyleRowBandSize w:val="1"/>
      <w:tblStyleColBandSize w:val="1"/>
    </w:tblPr>
    <w:tblStylePr w:type="firstRow">
      <w:rPr>
        <w:b/>
        <w:bCs/>
        <w:caps/>
      </w:rPr>
      <w:tblPr/>
      <w:tcPr>
        <w:tcBorders>
          <w:bottom w:val="single" w:sz="4" w:space="0" w:color="3886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886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D44FC"/>
    <w:pPr>
      <w:spacing w:after="0" w:line="240" w:lineRule="auto"/>
    </w:pPr>
    <w:tblPr>
      <w:tblStyleRowBandSize w:val="1"/>
      <w:tblStyleColBandSize w:val="1"/>
      <w:tblBorders>
        <w:top w:val="single" w:sz="4" w:space="0" w:color="3886FF" w:themeColor="text1" w:themeTint="80"/>
        <w:bottom w:val="single" w:sz="4" w:space="0" w:color="3886FF" w:themeColor="text1" w:themeTint="80"/>
      </w:tblBorders>
    </w:tblPr>
    <w:tblStylePr w:type="firstRow">
      <w:rPr>
        <w:b/>
        <w:bCs/>
      </w:rPr>
      <w:tblPr/>
      <w:tcPr>
        <w:tcBorders>
          <w:bottom w:val="single" w:sz="4" w:space="0" w:color="3886FF" w:themeColor="text1" w:themeTint="80"/>
        </w:tcBorders>
      </w:tcPr>
    </w:tblStylePr>
    <w:tblStylePr w:type="lastRow">
      <w:rPr>
        <w:b/>
        <w:bCs/>
      </w:rPr>
      <w:tblPr/>
      <w:tcPr>
        <w:tcBorders>
          <w:top w:val="single" w:sz="4" w:space="0" w:color="3886FF" w:themeColor="text1" w:themeTint="80"/>
        </w:tcBorders>
      </w:tcPr>
    </w:tblStylePr>
    <w:tblStylePr w:type="firstCol">
      <w:rPr>
        <w:b/>
        <w:bCs/>
      </w:rPr>
    </w:tblStylePr>
    <w:tblStylePr w:type="lastCol">
      <w:rPr>
        <w:b/>
        <w:bCs/>
      </w:rPr>
    </w:tblStylePr>
    <w:tblStylePr w:type="band1Vert">
      <w:tblPr/>
      <w:tcPr>
        <w:tcBorders>
          <w:left w:val="single" w:sz="4" w:space="0" w:color="3886FF" w:themeColor="text1" w:themeTint="80"/>
          <w:right w:val="single" w:sz="4" w:space="0" w:color="3886FF" w:themeColor="text1" w:themeTint="80"/>
        </w:tcBorders>
      </w:tcPr>
    </w:tblStylePr>
    <w:tblStylePr w:type="band2Vert">
      <w:tblPr/>
      <w:tcPr>
        <w:tcBorders>
          <w:left w:val="single" w:sz="4" w:space="0" w:color="3886FF" w:themeColor="text1" w:themeTint="80"/>
          <w:right w:val="single" w:sz="4" w:space="0" w:color="3886FF" w:themeColor="text1" w:themeTint="80"/>
        </w:tcBorders>
      </w:tcPr>
    </w:tblStylePr>
    <w:tblStylePr w:type="band1Horz">
      <w:tblPr/>
      <w:tcPr>
        <w:tcBorders>
          <w:top w:val="single" w:sz="4" w:space="0" w:color="3886FF" w:themeColor="text1" w:themeTint="80"/>
          <w:bottom w:val="single" w:sz="4" w:space="0" w:color="3886FF" w:themeColor="text1" w:themeTint="80"/>
        </w:tcBorders>
      </w:tcPr>
    </w:tblStylePr>
  </w:style>
  <w:style w:type="table" w:styleId="PlainTable4">
    <w:name w:val="Plain Table 4"/>
    <w:basedOn w:val="TableNormal"/>
    <w:uiPriority w:val="44"/>
    <w:rsid w:val="002D44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2D44FC"/>
    <w:pPr>
      <w:spacing w:after="0" w:line="240" w:lineRule="auto"/>
    </w:pPr>
    <w:tblPr>
      <w:tblStyleRowBandSize w:val="1"/>
      <w:tblStyleColBandSize w:val="1"/>
      <w:tblBorders>
        <w:top w:val="single" w:sz="4" w:space="0" w:color="002D72" w:themeColor="text1"/>
        <w:left w:val="single" w:sz="4" w:space="0" w:color="002D72" w:themeColor="text1"/>
        <w:bottom w:val="single" w:sz="4" w:space="0" w:color="002D72" w:themeColor="text1"/>
        <w:right w:val="single" w:sz="4" w:space="0" w:color="002D72" w:themeColor="text1"/>
      </w:tblBorders>
    </w:tblPr>
    <w:tblStylePr w:type="firstRow">
      <w:rPr>
        <w:b/>
        <w:bCs/>
        <w:color w:val="FFFFFF" w:themeColor="background1"/>
      </w:rPr>
      <w:tblPr/>
      <w:tcPr>
        <w:shd w:val="clear" w:color="auto" w:fill="002D72" w:themeFill="text1"/>
      </w:tcPr>
    </w:tblStylePr>
    <w:tblStylePr w:type="lastRow">
      <w:rPr>
        <w:b/>
        <w:bCs/>
      </w:rPr>
      <w:tblPr/>
      <w:tcPr>
        <w:tcBorders>
          <w:top w:val="double" w:sz="4" w:space="0" w:color="002D7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72" w:themeColor="text1"/>
          <w:right w:val="single" w:sz="4" w:space="0" w:color="002D72" w:themeColor="text1"/>
        </w:tcBorders>
      </w:tcPr>
    </w:tblStylePr>
    <w:tblStylePr w:type="band1Horz">
      <w:tblPr/>
      <w:tcPr>
        <w:tcBorders>
          <w:top w:val="single" w:sz="4" w:space="0" w:color="002D72" w:themeColor="text1"/>
          <w:bottom w:val="single" w:sz="4" w:space="0" w:color="002D7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72" w:themeColor="text1"/>
          <w:left w:val="nil"/>
        </w:tcBorders>
      </w:tcPr>
    </w:tblStylePr>
    <w:tblStylePr w:type="swCell">
      <w:tblPr/>
      <w:tcPr>
        <w:tcBorders>
          <w:top w:val="double" w:sz="4" w:space="0" w:color="002D72" w:themeColor="text1"/>
          <w:right w:val="nil"/>
        </w:tcBorders>
      </w:tcPr>
    </w:tblStylePr>
  </w:style>
  <w:style w:type="character" w:customStyle="1" w:styleId="Heading7Char">
    <w:name w:val="Heading 7 Char"/>
    <w:basedOn w:val="DefaultParagraphFont"/>
    <w:link w:val="Heading7"/>
    <w:uiPriority w:val="9"/>
    <w:rsid w:val="00062565"/>
    <w:rPr>
      <w:rFonts w:asciiTheme="majorHAnsi" w:eastAsiaTheme="majorEastAsia" w:hAnsiTheme="majorHAnsi" w:cstheme="majorBidi"/>
      <w:iCs/>
      <w:color w:val="002D72" w:themeColor="text1"/>
      <w:sz w:val="20"/>
    </w:rPr>
  </w:style>
  <w:style w:type="character" w:customStyle="1" w:styleId="Heading8Char">
    <w:name w:val="Heading 8 Char"/>
    <w:basedOn w:val="DefaultParagraphFont"/>
    <w:link w:val="Heading8"/>
    <w:uiPriority w:val="9"/>
    <w:rsid w:val="00062565"/>
    <w:rPr>
      <w:rFonts w:asciiTheme="majorHAnsi" w:eastAsiaTheme="majorEastAsia" w:hAnsiTheme="majorHAnsi" w:cstheme="majorBidi"/>
      <w:i/>
      <w:color w:val="002D72" w:themeColor="text1"/>
      <w:sz w:val="21"/>
      <w:szCs w:val="21"/>
    </w:rPr>
  </w:style>
  <w:style w:type="character" w:styleId="IntenseEmphasis">
    <w:name w:val="Intense Emphasis"/>
    <w:basedOn w:val="DefaultParagraphFont"/>
    <w:uiPriority w:val="21"/>
    <w:qFormat/>
    <w:rsid w:val="00C50ED8"/>
    <w:rPr>
      <w:i/>
      <w:iCs/>
      <w:color w:val="002D7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oITCRD%20Simple%20Template%202019.dotx" TargetMode="External"/></Relationships>
</file>

<file path=word/theme/theme1.xml><?xml version="1.0" encoding="utf-8"?>
<a:theme xmlns:a="http://schemas.openxmlformats.org/drawingml/2006/main" name="DoITCRD">
  <a:themeElements>
    <a:clrScheme name="Custom 1">
      <a:dk1>
        <a:srgbClr val="002D72"/>
      </a:dk1>
      <a:lt1>
        <a:sysClr val="window" lastClr="FFFFFF"/>
      </a:lt1>
      <a:dk2>
        <a:srgbClr val="7C878E"/>
      </a:dk2>
      <a:lt2>
        <a:srgbClr val="DEE9F1"/>
      </a:lt2>
      <a:accent1>
        <a:srgbClr val="002D72"/>
      </a:accent1>
      <a:accent2>
        <a:srgbClr val="009CBD"/>
      </a:accent2>
      <a:accent3>
        <a:srgbClr val="84BD00"/>
      </a:accent3>
      <a:accent4>
        <a:srgbClr val="485CC7"/>
      </a:accent4>
      <a:accent5>
        <a:srgbClr val="FA4616"/>
      </a:accent5>
      <a:accent6>
        <a:srgbClr val="FFA300"/>
      </a:accent6>
      <a:hlink>
        <a:srgbClr val="002D72"/>
      </a:hlink>
      <a:folHlink>
        <a:srgbClr val="7C878E"/>
      </a:folHlink>
    </a:clrScheme>
    <a:fontScheme name="DoITCRD 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ITCRD" id="{5A257436-6D80-4E63-B74C-390E67994A5E}" vid="{8063BDD6-2E75-4593-999F-27F6CC842E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333550CEAD564BA83A9771AC15C1A0" ma:contentTypeVersion="2" ma:contentTypeDescription="Create a new document." ma:contentTypeScope="" ma:versionID="c1a11b02a1a4a724008c0ac2f3fe7e2d">
  <xsd:schema xmlns:xsd="http://www.w3.org/2001/XMLSchema" xmlns:xs="http://www.w3.org/2001/XMLSchema" xmlns:p="http://schemas.microsoft.com/office/2006/metadata/properties" xmlns:ns2="e6fb739e-58cc-401a-925a-5d67fcbbeea1" targetNamespace="http://schemas.microsoft.com/office/2006/metadata/properties" ma:root="true" ma:fieldsID="78288582b7776890c8e073739f770544" ns2:_="">
    <xsd:import namespace="e6fb739e-58cc-401a-925a-5d67fcbbe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739e-58cc-401a-925a-5d67fcbb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0AEA1-D773-4529-A381-6EFCB2D7FFAA}">
  <ds:schemaRefs>
    <ds:schemaRef ds:uri="http://schemas.openxmlformats.org/officeDocument/2006/bibliography"/>
  </ds:schemaRefs>
</ds:datastoreItem>
</file>

<file path=customXml/itemProps2.xml><?xml version="1.0" encoding="utf-8"?>
<ds:datastoreItem xmlns:ds="http://schemas.openxmlformats.org/officeDocument/2006/customXml" ds:itemID="{B432B7F2-A78A-49EE-A9C2-B8101B60CCC1}"/>
</file>

<file path=customXml/itemProps3.xml><?xml version="1.0" encoding="utf-8"?>
<ds:datastoreItem xmlns:ds="http://schemas.openxmlformats.org/officeDocument/2006/customXml" ds:itemID="{ADE91797-AC90-4898-82B2-9BE6B08B0318}"/>
</file>

<file path=customXml/itemProps4.xml><?xml version="1.0" encoding="utf-8"?>
<ds:datastoreItem xmlns:ds="http://schemas.openxmlformats.org/officeDocument/2006/customXml" ds:itemID="{2B64188B-B02D-4A3C-B5DD-44ACA0D81E95}"/>
</file>

<file path=docProps/app.xml><?xml version="1.0" encoding="utf-8"?>
<Properties xmlns="http://schemas.openxmlformats.org/officeDocument/2006/extended-properties" xmlns:vt="http://schemas.openxmlformats.org/officeDocument/2006/docPropsVTypes">
  <Template>DoITCRD Simple Template 2019.dotx</Template>
  <TotalTime>1031</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Newsletter</vt:lpstr>
    </vt:vector>
  </TitlesOfParts>
  <Company>Department of Infrastructure and Regional Development</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RASMUSSEN Linda</dc:creator>
  <cp:lastModifiedBy>RASMUSSEN Linda</cp:lastModifiedBy>
  <cp:revision>14</cp:revision>
  <cp:lastPrinted>2019-11-28T03:31:00Z</cp:lastPrinted>
  <dcterms:created xsi:type="dcterms:W3CDTF">2019-11-22T01:10:00Z</dcterms:created>
  <dcterms:modified xsi:type="dcterms:W3CDTF">2019-12-18T23:35:00Z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0x010100CD333550CEAD564BA83A9771AC15C1A0</vt:lpwstr>
  </property>
</Properties>
</file>