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ED8" w:rsidRDefault="00C50ED8" w:rsidP="00260D1B">
      <w:pPr>
        <w:pStyle w:val="Heading2"/>
      </w:pPr>
    </w:p>
    <w:p w:rsidR="00C50ED8" w:rsidRDefault="00C50ED8" w:rsidP="00C50ED8"/>
    <w:p w:rsidR="00C50ED8" w:rsidRDefault="00C50ED8" w:rsidP="00C50ED8"/>
    <w:p w:rsidR="00C50ED8" w:rsidRDefault="00C50ED8" w:rsidP="00C50ED8"/>
    <w:p w:rsidR="00C50ED8" w:rsidRPr="00C50ED8" w:rsidRDefault="00C50ED8" w:rsidP="00C50ED8"/>
    <w:p w:rsidR="00C50ED8" w:rsidRDefault="00C50ED8" w:rsidP="00260D1B">
      <w:pPr>
        <w:pStyle w:val="Heading2"/>
      </w:pPr>
    </w:p>
    <w:p w:rsidR="00AD6E3F" w:rsidRDefault="00C50ED8" w:rsidP="00C50ED8">
      <w:pPr>
        <w:pStyle w:val="Heading2"/>
        <w:jc w:val="center"/>
      </w:pPr>
      <w:r>
        <w:t xml:space="preserve">Barriers to the safe use of </w:t>
      </w:r>
      <w:r w:rsidR="008A73AD">
        <w:t>motorised</w:t>
      </w:r>
      <w:r>
        <w:t xml:space="preserve"> mobility devices – </w:t>
      </w:r>
      <w:r w:rsidR="008A73AD">
        <w:t>Discussion paper</w:t>
      </w:r>
    </w:p>
    <w:p w:rsidR="00AD6E3F" w:rsidRDefault="00AD6E3F" w:rsidP="007A4BC0">
      <w:pPr>
        <w:pStyle w:val="NormalRule"/>
      </w:pPr>
    </w:p>
    <w:p w:rsidR="00C50ED8" w:rsidRPr="00C50ED8" w:rsidRDefault="00C50ED8" w:rsidP="00C50ED8">
      <w:pPr>
        <w:ind w:left="1080"/>
        <w:jc w:val="center"/>
        <w:rPr>
          <w:rStyle w:val="IntenseEmphasis"/>
          <w:sz w:val="28"/>
          <w:szCs w:val="28"/>
        </w:rPr>
      </w:pPr>
      <w:r w:rsidRPr="00C50ED8">
        <w:rPr>
          <w:rStyle w:val="IntenseEmphasis"/>
          <w:sz w:val="28"/>
          <w:szCs w:val="28"/>
        </w:rPr>
        <w:t>Submission by the Department of Infrastructure, Transport, Cities and Regional Development to the National Transport Commission</w:t>
      </w:r>
    </w:p>
    <w:p w:rsidR="00C50ED8" w:rsidRPr="00C50ED8" w:rsidRDefault="00C50ED8" w:rsidP="00C50ED8">
      <w:pPr>
        <w:ind w:left="1080"/>
        <w:jc w:val="center"/>
        <w:rPr>
          <w:rStyle w:val="IntenseEmphasis"/>
          <w:sz w:val="28"/>
          <w:szCs w:val="28"/>
        </w:rPr>
      </w:pPr>
    </w:p>
    <w:p w:rsidR="00C50ED8" w:rsidRPr="00C50ED8" w:rsidRDefault="00C50ED8" w:rsidP="00C50ED8">
      <w:pPr>
        <w:ind w:left="1080"/>
        <w:jc w:val="center"/>
        <w:rPr>
          <w:rStyle w:val="IntenseEmphasis"/>
          <w:sz w:val="28"/>
          <w:szCs w:val="28"/>
        </w:rPr>
      </w:pPr>
      <w:r w:rsidRPr="00C50ED8">
        <w:rPr>
          <w:rStyle w:val="IntenseEmphasis"/>
          <w:sz w:val="28"/>
          <w:szCs w:val="28"/>
        </w:rPr>
        <w:t>December 2019</w:t>
      </w:r>
    </w:p>
    <w:p w:rsidR="00C50ED8" w:rsidRDefault="00C50ED8" w:rsidP="00C50ED8">
      <w:pPr>
        <w:ind w:left="1080"/>
      </w:pPr>
    </w:p>
    <w:p w:rsidR="00C50ED8" w:rsidRDefault="00C50ED8" w:rsidP="00AF63C3">
      <w:pPr>
        <w:rPr>
          <w:lang w:val="en-US"/>
        </w:rPr>
      </w:pPr>
      <w:r>
        <w:rPr>
          <w:lang w:val="en-US"/>
        </w:rPr>
        <w:br w:type="page"/>
      </w:r>
    </w:p>
    <w:p w:rsidR="00AF63C3" w:rsidRDefault="00C50ED8" w:rsidP="00AF63C3">
      <w:pPr>
        <w:rPr>
          <w:lang w:val="en-US"/>
        </w:rPr>
      </w:pPr>
      <w:r>
        <w:rPr>
          <w:lang w:val="en-US"/>
        </w:rPr>
        <w:lastRenderedPageBreak/>
        <w:t>Introduction</w:t>
      </w:r>
    </w:p>
    <w:p w:rsidR="00C50ED8" w:rsidRDefault="00C50ED8" w:rsidP="00C50ED8">
      <w:pPr>
        <w:pStyle w:val="ListParagraph"/>
        <w:numPr>
          <w:ilvl w:val="0"/>
          <w:numId w:val="5"/>
        </w:numPr>
        <w:rPr>
          <w:lang w:val="en-US"/>
        </w:rPr>
      </w:pPr>
      <w:r>
        <w:rPr>
          <w:lang w:val="en-US"/>
        </w:rPr>
        <w:t xml:space="preserve">In October 2019 the National Transport Commission (NTC) published a </w:t>
      </w:r>
      <w:r w:rsidR="005471A1">
        <w:rPr>
          <w:lang w:val="en-US"/>
        </w:rPr>
        <w:t>discussion paper</w:t>
      </w:r>
      <w:r>
        <w:rPr>
          <w:lang w:val="en-US"/>
        </w:rPr>
        <w:t xml:space="preserve"> </w:t>
      </w:r>
      <w:r w:rsidR="00E41452">
        <w:rPr>
          <w:lang w:val="en-US"/>
        </w:rPr>
        <w:t>entitled</w:t>
      </w:r>
      <w:r>
        <w:rPr>
          <w:lang w:val="en-US"/>
        </w:rPr>
        <w:t xml:space="preserve"> </w:t>
      </w:r>
      <w:r w:rsidR="00E41452">
        <w:rPr>
          <w:lang w:val="en-US"/>
        </w:rPr>
        <w:t>B</w:t>
      </w:r>
      <w:r>
        <w:rPr>
          <w:lang w:val="en-US"/>
        </w:rPr>
        <w:t xml:space="preserve">arriers to the safe use of </w:t>
      </w:r>
      <w:proofErr w:type="spellStart"/>
      <w:r w:rsidR="005471A1">
        <w:rPr>
          <w:lang w:val="en-US"/>
        </w:rPr>
        <w:t>motorised</w:t>
      </w:r>
      <w:proofErr w:type="spellEnd"/>
      <w:r>
        <w:rPr>
          <w:lang w:val="en-US"/>
        </w:rPr>
        <w:t xml:space="preserve"> mobility devices</w:t>
      </w:r>
      <w:r w:rsidR="00E41452">
        <w:rPr>
          <w:lang w:val="en-US"/>
        </w:rPr>
        <w:t xml:space="preserve"> (</w:t>
      </w:r>
      <w:r w:rsidR="005471A1">
        <w:rPr>
          <w:lang w:val="en-US"/>
        </w:rPr>
        <w:t>M</w:t>
      </w:r>
      <w:r w:rsidR="00E41452">
        <w:rPr>
          <w:lang w:val="en-US"/>
        </w:rPr>
        <w:t>MD</w:t>
      </w:r>
      <w:r w:rsidR="00BA2440">
        <w:rPr>
          <w:lang w:val="en-US"/>
        </w:rPr>
        <w:t>s</w:t>
      </w:r>
      <w:r w:rsidR="00E41452">
        <w:rPr>
          <w:lang w:val="en-US"/>
        </w:rPr>
        <w:t>)</w:t>
      </w:r>
      <w:r>
        <w:rPr>
          <w:lang w:val="en-US"/>
        </w:rPr>
        <w:t xml:space="preserve">. The purpose of the </w:t>
      </w:r>
      <w:r w:rsidR="005471A1">
        <w:rPr>
          <w:lang w:val="en-US"/>
        </w:rPr>
        <w:t>discussion paper</w:t>
      </w:r>
      <w:r>
        <w:rPr>
          <w:lang w:val="en-US"/>
        </w:rPr>
        <w:t xml:space="preserve"> </w:t>
      </w:r>
      <w:r w:rsidR="00573A57">
        <w:rPr>
          <w:lang w:val="en-US"/>
        </w:rPr>
        <w:t>is</w:t>
      </w:r>
      <w:r>
        <w:rPr>
          <w:lang w:val="en-US"/>
        </w:rPr>
        <w:t xml:space="preserve"> to </w:t>
      </w:r>
      <w:r w:rsidR="00F26907">
        <w:rPr>
          <w:lang w:val="en-US"/>
        </w:rPr>
        <w:t xml:space="preserve">seek views on whether </w:t>
      </w:r>
      <w:r w:rsidR="005471A1">
        <w:rPr>
          <w:lang w:val="en-US"/>
        </w:rPr>
        <w:t xml:space="preserve">it is appropriate to increase the maximum </w:t>
      </w:r>
      <w:proofErr w:type="spellStart"/>
      <w:r w:rsidR="005471A1">
        <w:rPr>
          <w:lang w:val="en-US"/>
        </w:rPr>
        <w:t>unladen</w:t>
      </w:r>
      <w:proofErr w:type="spellEnd"/>
      <w:r w:rsidR="005471A1">
        <w:rPr>
          <w:lang w:val="en-US"/>
        </w:rPr>
        <w:t xml:space="preserve"> mass of MMDs in the Australian Road Rules (ARRs)</w:t>
      </w:r>
      <w:r w:rsidR="00F26907">
        <w:rPr>
          <w:lang w:val="en-US"/>
        </w:rPr>
        <w:t>.</w:t>
      </w:r>
    </w:p>
    <w:p w:rsidR="00DA213F" w:rsidRDefault="00397168" w:rsidP="00C50ED8">
      <w:pPr>
        <w:pStyle w:val="ListParagraph"/>
        <w:numPr>
          <w:ilvl w:val="0"/>
          <w:numId w:val="5"/>
        </w:numPr>
        <w:rPr>
          <w:lang w:val="en-US"/>
        </w:rPr>
      </w:pPr>
      <w:r>
        <w:rPr>
          <w:lang w:val="en-US"/>
        </w:rPr>
        <w:t xml:space="preserve">The discussion paper also suggests that MMDs should be considered as two separate subgroups in the ARRs, i.e. </w:t>
      </w:r>
      <w:proofErr w:type="spellStart"/>
      <w:r>
        <w:rPr>
          <w:lang w:val="en-US"/>
        </w:rPr>
        <w:t>motorised</w:t>
      </w:r>
      <w:proofErr w:type="spellEnd"/>
      <w:r>
        <w:rPr>
          <w:lang w:val="en-US"/>
        </w:rPr>
        <w:t xml:space="preserve"> wheelchairs and </w:t>
      </w:r>
      <w:proofErr w:type="spellStart"/>
      <w:r>
        <w:rPr>
          <w:lang w:val="en-US"/>
        </w:rPr>
        <w:t>motorised</w:t>
      </w:r>
      <w:proofErr w:type="spellEnd"/>
      <w:r>
        <w:rPr>
          <w:lang w:val="en-US"/>
        </w:rPr>
        <w:t xml:space="preserve"> mobility scooters. </w:t>
      </w:r>
      <w:r w:rsidR="00E41452">
        <w:rPr>
          <w:lang w:val="en-US"/>
        </w:rPr>
        <w:t xml:space="preserve">In the </w:t>
      </w:r>
      <w:r w:rsidR="00573A57">
        <w:rPr>
          <w:lang w:val="en-US"/>
        </w:rPr>
        <w:t>discussion paper the subgroups are defined by user needs rather than distinguishing technical specifications</w:t>
      </w:r>
      <w:r w:rsidR="00330F6B">
        <w:rPr>
          <w:lang w:val="en-US"/>
        </w:rPr>
        <w:t>.</w:t>
      </w:r>
      <w:r w:rsidR="00573A57">
        <w:rPr>
          <w:lang w:val="en-US"/>
        </w:rPr>
        <w:t xml:space="preserve"> </w:t>
      </w:r>
    </w:p>
    <w:p w:rsidR="00F26907" w:rsidRDefault="00573A57" w:rsidP="00DA213F">
      <w:pPr>
        <w:pStyle w:val="ListParagraph"/>
        <w:numPr>
          <w:ilvl w:val="1"/>
          <w:numId w:val="5"/>
        </w:numPr>
        <w:rPr>
          <w:lang w:val="en-US"/>
        </w:rPr>
      </w:pPr>
      <w:r>
        <w:rPr>
          <w:lang w:val="en-US"/>
        </w:rPr>
        <w:t xml:space="preserve">A </w:t>
      </w:r>
      <w:proofErr w:type="spellStart"/>
      <w:r>
        <w:rPr>
          <w:lang w:val="en-US"/>
        </w:rPr>
        <w:t>motorised</w:t>
      </w:r>
      <w:proofErr w:type="spellEnd"/>
      <w:r>
        <w:rPr>
          <w:lang w:val="en-US"/>
        </w:rPr>
        <w:t xml:space="preserve"> wheelchair is defined </w:t>
      </w:r>
      <w:proofErr w:type="gramStart"/>
      <w:r>
        <w:rPr>
          <w:lang w:val="en-US"/>
        </w:rPr>
        <w:t xml:space="preserve">as </w:t>
      </w:r>
      <w:r w:rsidR="00DA213F">
        <w:rPr>
          <w:lang w:val="en-US"/>
        </w:rPr>
        <w:t>generally designed to carry people with greater mobility needs than</w:t>
      </w:r>
      <w:proofErr w:type="gramEnd"/>
      <w:r w:rsidR="00DA213F">
        <w:rPr>
          <w:lang w:val="en-US"/>
        </w:rPr>
        <w:t xml:space="preserve"> users of mobility scooters. </w:t>
      </w:r>
      <w:proofErr w:type="spellStart"/>
      <w:r w:rsidR="00DA213F">
        <w:rPr>
          <w:lang w:val="en-US"/>
        </w:rPr>
        <w:t>Motorised</w:t>
      </w:r>
      <w:proofErr w:type="spellEnd"/>
      <w:r w:rsidR="00DA213F">
        <w:rPr>
          <w:lang w:val="en-US"/>
        </w:rPr>
        <w:t xml:space="preserve"> wheelchair users usually have a permanent disability, resulting in the inability to walk at all. They commonly require assistance getting in and out of the wheelchair.</w:t>
      </w:r>
    </w:p>
    <w:p w:rsidR="00DA213F" w:rsidRDefault="00DA213F" w:rsidP="00DA213F">
      <w:pPr>
        <w:pStyle w:val="ListParagraph"/>
        <w:numPr>
          <w:ilvl w:val="1"/>
          <w:numId w:val="5"/>
        </w:numPr>
        <w:rPr>
          <w:lang w:val="en-US"/>
        </w:rPr>
      </w:pPr>
      <w:r>
        <w:rPr>
          <w:lang w:val="en-US"/>
        </w:rPr>
        <w:t xml:space="preserve">A mobility scooter is defined as often used by older people or by people who have a permanent or </w:t>
      </w:r>
      <w:proofErr w:type="spellStart"/>
      <w:r>
        <w:rPr>
          <w:lang w:val="en-US"/>
        </w:rPr>
        <w:t>longterm</w:t>
      </w:r>
      <w:proofErr w:type="spellEnd"/>
      <w:r>
        <w:rPr>
          <w:lang w:val="en-US"/>
        </w:rPr>
        <w:t xml:space="preserve"> physical limitation yet have sufficient mobility to walk short distances. They have capacity to step on and off the scooter unaided.</w:t>
      </w:r>
    </w:p>
    <w:p w:rsidR="00330F6B" w:rsidRDefault="00DA213F" w:rsidP="00C50ED8">
      <w:pPr>
        <w:pStyle w:val="ListParagraph"/>
        <w:numPr>
          <w:ilvl w:val="0"/>
          <w:numId w:val="5"/>
        </w:numPr>
        <w:rPr>
          <w:lang w:val="en-US"/>
        </w:rPr>
      </w:pPr>
      <w:r>
        <w:rPr>
          <w:lang w:val="en-US"/>
        </w:rPr>
        <w:t>The discussion paper proposes that the</w:t>
      </w:r>
      <w:r w:rsidR="0044777A">
        <w:rPr>
          <w:lang w:val="en-US"/>
        </w:rPr>
        <w:t xml:space="preserve"> </w:t>
      </w:r>
      <w:r>
        <w:rPr>
          <w:lang w:val="en-US"/>
        </w:rPr>
        <w:t xml:space="preserve">ARRs be updated to allow an increase in the maximum </w:t>
      </w:r>
      <w:proofErr w:type="spellStart"/>
      <w:r>
        <w:rPr>
          <w:lang w:val="en-US"/>
        </w:rPr>
        <w:t>unladen</w:t>
      </w:r>
      <w:proofErr w:type="spellEnd"/>
      <w:r>
        <w:rPr>
          <w:lang w:val="en-US"/>
        </w:rPr>
        <w:t xml:space="preserve"> mass for mobility scooters to 170 kg and that no maximum limit be imposed on </w:t>
      </w:r>
      <w:proofErr w:type="spellStart"/>
      <w:r>
        <w:rPr>
          <w:lang w:val="en-US"/>
        </w:rPr>
        <w:t>motorised</w:t>
      </w:r>
      <w:proofErr w:type="spellEnd"/>
      <w:r>
        <w:rPr>
          <w:lang w:val="en-US"/>
        </w:rPr>
        <w:t xml:space="preserve"> wheelchairs</w:t>
      </w:r>
      <w:r w:rsidR="00330F6B">
        <w:rPr>
          <w:lang w:val="en-US"/>
        </w:rPr>
        <w:t>.</w:t>
      </w:r>
    </w:p>
    <w:p w:rsidR="00330F6B" w:rsidRDefault="00330F6B" w:rsidP="00C50ED8">
      <w:pPr>
        <w:pStyle w:val="ListParagraph"/>
        <w:numPr>
          <w:ilvl w:val="0"/>
          <w:numId w:val="5"/>
        </w:numPr>
        <w:rPr>
          <w:lang w:val="en-US"/>
        </w:rPr>
      </w:pPr>
      <w:r>
        <w:rPr>
          <w:lang w:val="en-US"/>
        </w:rPr>
        <w:t xml:space="preserve">The </w:t>
      </w:r>
      <w:r w:rsidR="00DA213F">
        <w:rPr>
          <w:lang w:val="en-US"/>
        </w:rPr>
        <w:t xml:space="preserve">discussion paper does not propose that the speed limit of MMDs be changed from 10 km/h or that access </w:t>
      </w:r>
      <w:r w:rsidR="003E4E37">
        <w:rPr>
          <w:lang w:val="en-US"/>
        </w:rPr>
        <w:t xml:space="preserve">arrangements </w:t>
      </w:r>
      <w:r w:rsidR="00DA213F">
        <w:rPr>
          <w:lang w:val="en-US"/>
        </w:rPr>
        <w:t>be changed</w:t>
      </w:r>
      <w:r>
        <w:rPr>
          <w:lang w:val="en-US"/>
        </w:rPr>
        <w:t>.</w:t>
      </w:r>
    </w:p>
    <w:p w:rsidR="003447A1" w:rsidRDefault="003447A1" w:rsidP="00C50ED8">
      <w:pPr>
        <w:pStyle w:val="ListParagraph"/>
        <w:numPr>
          <w:ilvl w:val="0"/>
          <w:numId w:val="5"/>
        </w:numPr>
        <w:rPr>
          <w:lang w:val="en-US"/>
        </w:rPr>
      </w:pPr>
      <w:r>
        <w:rPr>
          <w:lang w:val="en-US"/>
        </w:rPr>
        <w:t xml:space="preserve">This submission to the NTC </w:t>
      </w:r>
      <w:r w:rsidR="00DA213F">
        <w:rPr>
          <w:lang w:val="en-US"/>
        </w:rPr>
        <w:t>discussion paper</w:t>
      </w:r>
      <w:r>
        <w:rPr>
          <w:lang w:val="en-US"/>
        </w:rPr>
        <w:t xml:space="preserve"> provides feedback from the Commonwealth Department of Infrastructure, Transport, Cities and Regional Development (the department). It reflects the role that the department has in determining what a road vehicle is according to the </w:t>
      </w:r>
      <w:r w:rsidRPr="00BA2440">
        <w:rPr>
          <w:i/>
          <w:lang w:val="en-US"/>
        </w:rPr>
        <w:t>Motor Vehicle Standards Act 1989</w:t>
      </w:r>
      <w:r>
        <w:rPr>
          <w:lang w:val="en-US"/>
        </w:rPr>
        <w:t xml:space="preserve"> </w:t>
      </w:r>
      <w:r w:rsidR="00BA2440">
        <w:rPr>
          <w:lang w:val="en-US"/>
        </w:rPr>
        <w:t xml:space="preserve">(MVSA) </w:t>
      </w:r>
      <w:r>
        <w:rPr>
          <w:lang w:val="en-US"/>
        </w:rPr>
        <w:t xml:space="preserve">and the </w:t>
      </w:r>
      <w:r w:rsidRPr="00BA2440">
        <w:rPr>
          <w:i/>
          <w:lang w:val="en-US"/>
        </w:rPr>
        <w:t>Road Vehicle Standards Act 2018</w:t>
      </w:r>
      <w:r w:rsidR="00BA2440">
        <w:rPr>
          <w:i/>
          <w:lang w:val="en-US"/>
        </w:rPr>
        <w:t xml:space="preserve"> </w:t>
      </w:r>
      <w:r w:rsidR="00BA2440" w:rsidRPr="00BA2440">
        <w:rPr>
          <w:lang w:val="en-US"/>
        </w:rPr>
        <w:t>(RVSA)</w:t>
      </w:r>
      <w:r>
        <w:rPr>
          <w:lang w:val="en-US"/>
        </w:rPr>
        <w:t xml:space="preserve">, as well as the importation and </w:t>
      </w:r>
      <w:r w:rsidR="003E4E37">
        <w:rPr>
          <w:lang w:val="en-US"/>
        </w:rPr>
        <w:t>assessment</w:t>
      </w:r>
      <w:r>
        <w:rPr>
          <w:lang w:val="en-US"/>
        </w:rPr>
        <w:t xml:space="preserve"> of </w:t>
      </w:r>
      <w:r w:rsidR="003E4E37">
        <w:rPr>
          <w:lang w:val="en-US"/>
        </w:rPr>
        <w:t xml:space="preserve">whether a vehicle is a </w:t>
      </w:r>
      <w:r>
        <w:rPr>
          <w:lang w:val="en-US"/>
        </w:rPr>
        <w:t>road vehicles</w:t>
      </w:r>
      <w:r w:rsidR="003E4E37">
        <w:rPr>
          <w:lang w:val="en-US"/>
        </w:rPr>
        <w:t xml:space="preserve"> for the purpose of the MVSA</w:t>
      </w:r>
      <w:r>
        <w:rPr>
          <w:lang w:val="en-US"/>
        </w:rPr>
        <w:t>.</w:t>
      </w:r>
    </w:p>
    <w:p w:rsidR="003447A1" w:rsidRDefault="003447A1" w:rsidP="003447A1">
      <w:pPr>
        <w:rPr>
          <w:lang w:val="en-US"/>
        </w:rPr>
      </w:pPr>
    </w:p>
    <w:p w:rsidR="003447A1" w:rsidRDefault="003447A1" w:rsidP="003447A1">
      <w:pPr>
        <w:rPr>
          <w:lang w:val="en-US"/>
        </w:rPr>
      </w:pPr>
      <w:r>
        <w:rPr>
          <w:lang w:val="en-US"/>
        </w:rPr>
        <w:t>Road vehicle legislation</w:t>
      </w:r>
    </w:p>
    <w:p w:rsidR="003447A1" w:rsidRDefault="003447A1" w:rsidP="003447A1">
      <w:pPr>
        <w:pStyle w:val="ListParagraph"/>
        <w:numPr>
          <w:ilvl w:val="0"/>
          <w:numId w:val="5"/>
        </w:numPr>
        <w:rPr>
          <w:lang w:val="en-US"/>
        </w:rPr>
      </w:pPr>
      <w:r>
        <w:rPr>
          <w:lang w:val="en-US"/>
        </w:rPr>
        <w:t xml:space="preserve">The </w:t>
      </w:r>
      <w:r w:rsidR="00766110">
        <w:rPr>
          <w:lang w:val="en-US"/>
        </w:rPr>
        <w:t>d</w:t>
      </w:r>
      <w:r>
        <w:rPr>
          <w:lang w:val="en-US"/>
        </w:rPr>
        <w:t xml:space="preserve">epartment administers the MVSA and its future replacement, the RVSA, on behalf of the </w:t>
      </w:r>
      <w:r w:rsidR="009F1153">
        <w:rPr>
          <w:lang w:val="en-US"/>
        </w:rPr>
        <w:t>Australian Government</w:t>
      </w:r>
      <w:r>
        <w:rPr>
          <w:lang w:val="en-US"/>
        </w:rPr>
        <w:t>. The MVSA/RVSA applies/will apply to new and used imported as well as locally manufactured road vehicles.</w:t>
      </w:r>
    </w:p>
    <w:p w:rsidR="006B7E3B" w:rsidRDefault="006B7E3B" w:rsidP="003447A1">
      <w:pPr>
        <w:pStyle w:val="ListParagraph"/>
        <w:numPr>
          <w:ilvl w:val="0"/>
          <w:numId w:val="5"/>
        </w:numPr>
        <w:rPr>
          <w:lang w:val="en-US"/>
        </w:rPr>
      </w:pPr>
      <w:r>
        <w:rPr>
          <w:lang w:val="en-US"/>
        </w:rPr>
        <w:t xml:space="preserve">The MVSA/RVSA regulates road motor vehicles before they are being supplied/provided to the market, </w:t>
      </w:r>
      <w:r w:rsidR="00E41452">
        <w:rPr>
          <w:lang w:val="en-US"/>
        </w:rPr>
        <w:t>whereas</w:t>
      </w:r>
      <w:r>
        <w:rPr>
          <w:lang w:val="en-US"/>
        </w:rPr>
        <w:t xml:space="preserve"> the use of road motor vehicles (and other types of vehicles) on public roads and road related areas is a matter for state and territory jurisdictions.</w:t>
      </w:r>
    </w:p>
    <w:p w:rsidR="006B7E3B" w:rsidRDefault="006B7E3B" w:rsidP="003447A1">
      <w:pPr>
        <w:pStyle w:val="ListParagraph"/>
        <w:numPr>
          <w:ilvl w:val="0"/>
          <w:numId w:val="5"/>
        </w:numPr>
        <w:rPr>
          <w:lang w:val="en-US"/>
        </w:rPr>
      </w:pPr>
      <w:r>
        <w:rPr>
          <w:lang w:val="en-US"/>
        </w:rPr>
        <w:t xml:space="preserve">As defined in the </w:t>
      </w:r>
      <w:r w:rsidR="00B25A9B">
        <w:rPr>
          <w:lang w:val="en-US"/>
        </w:rPr>
        <w:t>discussion paper</w:t>
      </w:r>
      <w:r>
        <w:rPr>
          <w:lang w:val="en-US"/>
        </w:rPr>
        <w:t xml:space="preserve">, </w:t>
      </w:r>
      <w:r w:rsidR="00B25A9B">
        <w:rPr>
          <w:lang w:val="en-US"/>
        </w:rPr>
        <w:t>M</w:t>
      </w:r>
      <w:r>
        <w:rPr>
          <w:lang w:val="en-US"/>
        </w:rPr>
        <w:t xml:space="preserve">MDs would not be considered road motor vehicles according to the </w:t>
      </w:r>
      <w:r w:rsidR="00593A4E">
        <w:rPr>
          <w:lang w:val="en-US"/>
        </w:rPr>
        <w:t xml:space="preserve">current Motor Vehicle Standards (Road Vehicles) Determination 2017. This Determination sets out classes of vehicles that are not road vehicles for the purposes of the MVSA. The MMDs would not be classed as road motor vehicles either according to the </w:t>
      </w:r>
      <w:r w:rsidR="00766110">
        <w:rPr>
          <w:lang w:val="en-US"/>
        </w:rPr>
        <w:t xml:space="preserve">proposed Road Vehicle Standards (Classes of Vehicles that are not Road Vehicles) Determination </w:t>
      </w:r>
      <w:r w:rsidR="00E41452">
        <w:rPr>
          <w:lang w:val="en-US"/>
        </w:rPr>
        <w:t xml:space="preserve">to be </w:t>
      </w:r>
      <w:r w:rsidR="00766110">
        <w:rPr>
          <w:lang w:val="en-US"/>
        </w:rPr>
        <w:t>made under the RVSA.</w:t>
      </w:r>
    </w:p>
    <w:p w:rsidR="009867D1" w:rsidRDefault="009867D1" w:rsidP="003447A1">
      <w:pPr>
        <w:pStyle w:val="ListParagraph"/>
        <w:numPr>
          <w:ilvl w:val="0"/>
          <w:numId w:val="5"/>
        </w:numPr>
        <w:rPr>
          <w:lang w:val="en-US"/>
        </w:rPr>
      </w:pPr>
      <w:r>
        <w:rPr>
          <w:lang w:val="en-US"/>
        </w:rPr>
        <w:t xml:space="preserve">The Motor Vehicle Standards (Road Vehicles) Determination 2017 includes a definition of a </w:t>
      </w:r>
      <w:proofErr w:type="spellStart"/>
      <w:r>
        <w:rPr>
          <w:lang w:val="en-US"/>
        </w:rPr>
        <w:t>motorised</w:t>
      </w:r>
      <w:proofErr w:type="spellEnd"/>
      <w:r>
        <w:rPr>
          <w:lang w:val="en-US"/>
        </w:rPr>
        <w:t xml:space="preserve"> wheelchair. It</w:t>
      </w:r>
      <w:r w:rsidR="00D1398A">
        <w:rPr>
          <w:lang w:val="en-US"/>
        </w:rPr>
        <w:t xml:space="preserve"> is</w:t>
      </w:r>
      <w:r>
        <w:rPr>
          <w:lang w:val="en-US"/>
        </w:rPr>
        <w:t xml:space="preserve"> define</w:t>
      </w:r>
      <w:r w:rsidR="00D1398A">
        <w:rPr>
          <w:lang w:val="en-US"/>
        </w:rPr>
        <w:t>d</w:t>
      </w:r>
      <w:r>
        <w:rPr>
          <w:lang w:val="en-US"/>
        </w:rPr>
        <w:t xml:space="preserve"> as a wheelchair that:</w:t>
      </w:r>
    </w:p>
    <w:p w:rsidR="009867D1" w:rsidRDefault="00D1398A" w:rsidP="009867D1">
      <w:pPr>
        <w:pStyle w:val="ListParagraph"/>
        <w:numPr>
          <w:ilvl w:val="1"/>
          <w:numId w:val="5"/>
        </w:numPr>
        <w:rPr>
          <w:lang w:val="en-US"/>
        </w:rPr>
      </w:pPr>
      <w:r>
        <w:rPr>
          <w:lang w:val="en-US"/>
        </w:rPr>
        <w:lastRenderedPageBreak/>
        <w:t>i</w:t>
      </w:r>
      <w:r w:rsidR="009867D1">
        <w:rPr>
          <w:lang w:val="en-US"/>
        </w:rPr>
        <w:t>s designed to be used by a single person</w:t>
      </w:r>
    </w:p>
    <w:p w:rsidR="009867D1" w:rsidRDefault="00D1398A" w:rsidP="009867D1">
      <w:pPr>
        <w:pStyle w:val="ListParagraph"/>
        <w:numPr>
          <w:ilvl w:val="1"/>
          <w:numId w:val="5"/>
        </w:numPr>
        <w:rPr>
          <w:lang w:val="en-US"/>
        </w:rPr>
      </w:pPr>
      <w:r>
        <w:rPr>
          <w:lang w:val="en-US"/>
        </w:rPr>
        <w:t>i</w:t>
      </w:r>
      <w:r w:rsidR="009867D1">
        <w:rPr>
          <w:lang w:val="en-US"/>
        </w:rPr>
        <w:t>s self-propelled</w:t>
      </w:r>
    </w:p>
    <w:p w:rsidR="009867D1" w:rsidRDefault="00D1398A" w:rsidP="009867D1">
      <w:pPr>
        <w:pStyle w:val="ListParagraph"/>
        <w:numPr>
          <w:ilvl w:val="1"/>
          <w:numId w:val="5"/>
        </w:numPr>
        <w:rPr>
          <w:lang w:val="en-US"/>
        </w:rPr>
      </w:pPr>
      <w:r>
        <w:rPr>
          <w:lang w:val="en-US"/>
        </w:rPr>
        <w:t>i</w:t>
      </w:r>
      <w:r w:rsidR="009867D1">
        <w:rPr>
          <w:lang w:val="en-US"/>
        </w:rPr>
        <w:t>s not capable of exceeding 10 km/h on level ground and</w:t>
      </w:r>
    </w:p>
    <w:p w:rsidR="009867D1" w:rsidRDefault="00D1398A" w:rsidP="009867D1">
      <w:pPr>
        <w:pStyle w:val="ListParagraph"/>
        <w:numPr>
          <w:ilvl w:val="1"/>
          <w:numId w:val="5"/>
        </w:numPr>
        <w:rPr>
          <w:lang w:val="en-US"/>
        </w:rPr>
      </w:pPr>
      <w:proofErr w:type="gramStart"/>
      <w:r>
        <w:rPr>
          <w:lang w:val="en-US"/>
        </w:rPr>
        <w:t>i</w:t>
      </w:r>
      <w:r w:rsidR="009867D1">
        <w:rPr>
          <w:lang w:val="en-US"/>
        </w:rPr>
        <w:t>f</w:t>
      </w:r>
      <w:proofErr w:type="gramEnd"/>
      <w:r w:rsidR="009867D1">
        <w:rPr>
          <w:lang w:val="en-US"/>
        </w:rPr>
        <w:t xml:space="preserve"> not propelled solely by one or more electric motors, has an </w:t>
      </w:r>
      <w:proofErr w:type="spellStart"/>
      <w:r w:rsidR="009867D1">
        <w:rPr>
          <w:lang w:val="en-US"/>
        </w:rPr>
        <w:t>unladen</w:t>
      </w:r>
      <w:proofErr w:type="spellEnd"/>
      <w:r w:rsidR="009867D1">
        <w:rPr>
          <w:lang w:val="en-US"/>
        </w:rPr>
        <w:t xml:space="preserve"> mass of 40 kg or more.</w:t>
      </w:r>
    </w:p>
    <w:p w:rsidR="00D1398A" w:rsidRPr="00D1398A" w:rsidRDefault="00D1398A" w:rsidP="00D1398A">
      <w:pPr>
        <w:ind w:left="709"/>
        <w:rPr>
          <w:lang w:val="en-US"/>
        </w:rPr>
      </w:pPr>
      <w:r>
        <w:rPr>
          <w:lang w:val="en-US"/>
        </w:rPr>
        <w:t xml:space="preserve">In assessing if a </w:t>
      </w:r>
      <w:proofErr w:type="spellStart"/>
      <w:r>
        <w:rPr>
          <w:lang w:val="en-US"/>
        </w:rPr>
        <w:t>motorised</w:t>
      </w:r>
      <w:proofErr w:type="spellEnd"/>
      <w:r>
        <w:rPr>
          <w:lang w:val="en-US"/>
        </w:rPr>
        <w:t xml:space="preserve"> vehicle falls within the motor vehicle standards legislation, the department usually considers devices commonly referred to as mobility scooters according to the definition of a </w:t>
      </w:r>
      <w:proofErr w:type="spellStart"/>
      <w:r>
        <w:rPr>
          <w:lang w:val="en-US"/>
        </w:rPr>
        <w:t>motorised</w:t>
      </w:r>
      <w:proofErr w:type="spellEnd"/>
      <w:r>
        <w:rPr>
          <w:lang w:val="en-US"/>
        </w:rPr>
        <w:t xml:space="preserve"> wheelchair.</w:t>
      </w:r>
    </w:p>
    <w:p w:rsidR="00766110" w:rsidRDefault="00766110" w:rsidP="00766110">
      <w:pPr>
        <w:rPr>
          <w:lang w:val="en-US"/>
        </w:rPr>
      </w:pPr>
    </w:p>
    <w:p w:rsidR="00C9428A" w:rsidRDefault="009867D1" w:rsidP="00766110">
      <w:pPr>
        <w:rPr>
          <w:lang w:val="en-US"/>
        </w:rPr>
      </w:pPr>
      <w:r>
        <w:rPr>
          <w:lang w:val="en-US"/>
        </w:rPr>
        <w:t>Disability Standards legislation</w:t>
      </w:r>
    </w:p>
    <w:p w:rsidR="009867D1" w:rsidRDefault="0041695F" w:rsidP="0041695F">
      <w:pPr>
        <w:pStyle w:val="ListParagraph"/>
        <w:numPr>
          <w:ilvl w:val="0"/>
          <w:numId w:val="5"/>
        </w:numPr>
        <w:rPr>
          <w:lang w:val="en-US"/>
        </w:rPr>
      </w:pPr>
      <w:r w:rsidRPr="0041695F">
        <w:rPr>
          <w:lang w:val="en-US"/>
        </w:rPr>
        <w:t>The</w:t>
      </w:r>
      <w:r>
        <w:rPr>
          <w:lang w:val="en-US"/>
        </w:rPr>
        <w:t xml:space="preserve"> </w:t>
      </w:r>
      <w:r w:rsidR="009867D1">
        <w:rPr>
          <w:lang w:val="en-US"/>
        </w:rPr>
        <w:t xml:space="preserve">department administers the </w:t>
      </w:r>
      <w:r w:rsidR="009867D1" w:rsidRPr="00581DB5">
        <w:rPr>
          <w:i/>
          <w:lang w:val="en-US"/>
        </w:rPr>
        <w:t>Disability Standards for Accessible Public Transport 2002</w:t>
      </w:r>
      <w:r w:rsidR="009867D1">
        <w:rPr>
          <w:lang w:val="en-US"/>
        </w:rPr>
        <w:t xml:space="preserve"> on behalf of the Commonwealth. The purpose of the disability standards is to enable public transport operators and providers to remove discrimination from public transport services.</w:t>
      </w:r>
    </w:p>
    <w:p w:rsidR="00581DB5" w:rsidRDefault="00581DB5" w:rsidP="0041695F">
      <w:pPr>
        <w:pStyle w:val="ListParagraph"/>
        <w:numPr>
          <w:ilvl w:val="0"/>
          <w:numId w:val="5"/>
        </w:numPr>
        <w:rPr>
          <w:lang w:val="en-US"/>
        </w:rPr>
      </w:pPr>
      <w:r>
        <w:rPr>
          <w:lang w:val="en-US"/>
        </w:rPr>
        <w:t xml:space="preserve">The department notes that the disability standards legislation refers to </w:t>
      </w:r>
      <w:r w:rsidR="003E4E37">
        <w:rPr>
          <w:lang w:val="en-US"/>
        </w:rPr>
        <w:t>‘</w:t>
      </w:r>
      <w:r>
        <w:rPr>
          <w:lang w:val="en-US"/>
        </w:rPr>
        <w:t>wheelchairs</w:t>
      </w:r>
      <w:r w:rsidR="003E4E37">
        <w:rPr>
          <w:lang w:val="en-US"/>
        </w:rPr>
        <w:t>’</w:t>
      </w:r>
      <w:r>
        <w:rPr>
          <w:lang w:val="en-US"/>
        </w:rPr>
        <w:t xml:space="preserve"> and </w:t>
      </w:r>
      <w:r w:rsidR="003E4E37">
        <w:rPr>
          <w:lang w:val="en-US"/>
        </w:rPr>
        <w:t>‘</w:t>
      </w:r>
      <w:r>
        <w:rPr>
          <w:lang w:val="en-US"/>
        </w:rPr>
        <w:t>mobility aids</w:t>
      </w:r>
      <w:r w:rsidR="003E4E37">
        <w:rPr>
          <w:lang w:val="en-US"/>
        </w:rPr>
        <w:t>’.</w:t>
      </w:r>
    </w:p>
    <w:p w:rsidR="003E4E37" w:rsidRDefault="003E4E37" w:rsidP="003E4E37">
      <w:pPr>
        <w:rPr>
          <w:lang w:val="en-US"/>
        </w:rPr>
      </w:pPr>
    </w:p>
    <w:p w:rsidR="0041695F" w:rsidRDefault="003E4E37" w:rsidP="003E4E37">
      <w:pPr>
        <w:rPr>
          <w:lang w:val="en-US"/>
        </w:rPr>
      </w:pPr>
      <w:r>
        <w:rPr>
          <w:lang w:val="en-US"/>
        </w:rPr>
        <w:t>Discussion</w:t>
      </w:r>
    </w:p>
    <w:p w:rsidR="00542666" w:rsidRDefault="00542666" w:rsidP="003E4E37">
      <w:pPr>
        <w:pStyle w:val="ListParagraph"/>
        <w:numPr>
          <w:ilvl w:val="0"/>
          <w:numId w:val="5"/>
        </w:numPr>
        <w:rPr>
          <w:lang w:val="en-US"/>
        </w:rPr>
      </w:pPr>
      <w:r>
        <w:rPr>
          <w:lang w:val="en-US"/>
        </w:rPr>
        <w:t xml:space="preserve">While MMDs are designed to transport people, their design is principally suited for use </w:t>
      </w:r>
      <w:r w:rsidR="004D7B0C">
        <w:rPr>
          <w:lang w:val="en-US"/>
        </w:rPr>
        <w:t>on smooth paved surfaces, such as footpaths. They are also usually designed to be able to operate a</w:t>
      </w:r>
      <w:r w:rsidR="009F1153">
        <w:rPr>
          <w:lang w:val="en-US"/>
        </w:rPr>
        <w:t>t</w:t>
      </w:r>
      <w:r w:rsidR="004D7B0C">
        <w:rPr>
          <w:lang w:val="en-US"/>
        </w:rPr>
        <w:t xml:space="preserve"> low speeds. As they are not solely or principally designed for the transport on public roads of people, the MVSA does not apply to MMDs.</w:t>
      </w:r>
    </w:p>
    <w:p w:rsidR="003E4E37" w:rsidRPr="003E4E37" w:rsidRDefault="003E4E37" w:rsidP="003E4E37">
      <w:pPr>
        <w:pStyle w:val="ListParagraph"/>
        <w:numPr>
          <w:ilvl w:val="0"/>
          <w:numId w:val="5"/>
        </w:numPr>
        <w:rPr>
          <w:lang w:val="en-US"/>
        </w:rPr>
      </w:pPr>
      <w:r w:rsidRPr="003E4E37">
        <w:rPr>
          <w:lang w:val="en-US"/>
        </w:rPr>
        <w:t xml:space="preserve">The department notes that the term </w:t>
      </w:r>
      <w:proofErr w:type="spellStart"/>
      <w:r w:rsidRPr="003E4E37">
        <w:rPr>
          <w:lang w:val="en-US"/>
        </w:rPr>
        <w:t>motorised</w:t>
      </w:r>
      <w:proofErr w:type="spellEnd"/>
      <w:r w:rsidRPr="003E4E37">
        <w:rPr>
          <w:lang w:val="en-US"/>
        </w:rPr>
        <w:t xml:space="preserve"> mobility scooter or mobility scooter has become common usage for those </w:t>
      </w:r>
      <w:proofErr w:type="spellStart"/>
      <w:r w:rsidRPr="003E4E37">
        <w:rPr>
          <w:lang w:val="en-US"/>
        </w:rPr>
        <w:t>motorised</w:t>
      </w:r>
      <w:proofErr w:type="spellEnd"/>
      <w:r w:rsidRPr="003E4E37">
        <w:rPr>
          <w:lang w:val="en-US"/>
        </w:rPr>
        <w:t xml:space="preserve"> mobility devices that are mainly used by people as a mobility aid. This is unfortunate because </w:t>
      </w:r>
      <w:bookmarkStart w:id="0" w:name="_GoBack"/>
      <w:bookmarkEnd w:id="0"/>
      <w:r w:rsidRPr="003E4E37">
        <w:rPr>
          <w:lang w:val="en-US"/>
        </w:rPr>
        <w:t xml:space="preserve">the term </w:t>
      </w:r>
      <w:proofErr w:type="spellStart"/>
      <w:r w:rsidRPr="003E4E37">
        <w:rPr>
          <w:lang w:val="en-US"/>
        </w:rPr>
        <w:t>motorised</w:t>
      </w:r>
      <w:proofErr w:type="spellEnd"/>
      <w:r w:rsidRPr="003E4E37">
        <w:rPr>
          <w:lang w:val="en-US"/>
        </w:rPr>
        <w:t xml:space="preserve"> scooter </w:t>
      </w:r>
      <w:r w:rsidR="009F1153">
        <w:rPr>
          <w:lang w:val="en-US"/>
        </w:rPr>
        <w:t>(</w:t>
      </w:r>
      <w:r w:rsidR="009F1153">
        <w:rPr>
          <w:lang w:val="en-US"/>
        </w:rPr>
        <w:t xml:space="preserve">as </w:t>
      </w:r>
      <w:r w:rsidR="009F1153" w:rsidRPr="003E4E37">
        <w:rPr>
          <w:lang w:val="en-US"/>
        </w:rPr>
        <w:t>defined in the Motor Vehicle Standards (Road Vehicles) Determination 2017</w:t>
      </w:r>
      <w:r w:rsidR="009F1153">
        <w:rPr>
          <w:lang w:val="en-US"/>
        </w:rPr>
        <w:t xml:space="preserve">) </w:t>
      </w:r>
      <w:r w:rsidRPr="003E4E37">
        <w:rPr>
          <w:lang w:val="en-US"/>
        </w:rPr>
        <w:t>is used about a device that is designed to be used by a single person; has two or more wheels and a footboard supported by the whee</w:t>
      </w:r>
      <w:r w:rsidR="009F1153">
        <w:rPr>
          <w:lang w:val="en-US"/>
        </w:rPr>
        <w:t>ls and is steered by handlebars</w:t>
      </w:r>
      <w:r w:rsidRPr="003E4E37">
        <w:rPr>
          <w:lang w:val="en-US"/>
        </w:rPr>
        <w:t xml:space="preserve">. Some of these are low powered, i.e. less than 200 watts or speed controlled to less than 25 km/h. They are usually the small scooters that a person stands on while scooting with one leg or standing on the board if the device has a motor. Those </w:t>
      </w:r>
      <w:proofErr w:type="spellStart"/>
      <w:r w:rsidRPr="003E4E37">
        <w:rPr>
          <w:lang w:val="en-US"/>
        </w:rPr>
        <w:t>motorised</w:t>
      </w:r>
      <w:proofErr w:type="spellEnd"/>
      <w:r w:rsidRPr="003E4E37">
        <w:rPr>
          <w:lang w:val="en-US"/>
        </w:rPr>
        <w:t xml:space="preserve"> scooters that are higher powered typically fall into the moped vehicle categories (LA, LB, LC or LE)</w:t>
      </w:r>
      <w:r w:rsidR="004D7B0C">
        <w:rPr>
          <w:lang w:val="en-US"/>
        </w:rPr>
        <w:t xml:space="preserve"> as defined by the Vehicle Standard (Australian Design Rule – Definitions and Vehicle Categories) 2005</w:t>
      </w:r>
      <w:r w:rsidRPr="003E4E37">
        <w:rPr>
          <w:lang w:val="en-US"/>
        </w:rPr>
        <w:t xml:space="preserve">. </w:t>
      </w:r>
    </w:p>
    <w:p w:rsidR="003E4E37" w:rsidRDefault="003E4E37" w:rsidP="003E4E37">
      <w:pPr>
        <w:pStyle w:val="ListParagraph"/>
        <w:numPr>
          <w:ilvl w:val="0"/>
          <w:numId w:val="5"/>
        </w:numPr>
        <w:rPr>
          <w:lang w:val="en-US"/>
        </w:rPr>
      </w:pPr>
      <w:r>
        <w:rPr>
          <w:lang w:val="en-US"/>
        </w:rPr>
        <w:t>To avoid confusion the department will make a</w:t>
      </w:r>
      <w:r w:rsidR="004D7B0C">
        <w:rPr>
          <w:lang w:val="en-US"/>
        </w:rPr>
        <w:t>n</w:t>
      </w:r>
      <w:r>
        <w:rPr>
          <w:lang w:val="en-US"/>
        </w:rPr>
        <w:t xml:space="preserve"> adjustment to the sub heading of </w:t>
      </w:r>
      <w:proofErr w:type="spellStart"/>
      <w:r>
        <w:rPr>
          <w:lang w:val="en-US"/>
        </w:rPr>
        <w:t>motorised</w:t>
      </w:r>
      <w:proofErr w:type="spellEnd"/>
      <w:r>
        <w:rPr>
          <w:lang w:val="en-US"/>
        </w:rPr>
        <w:t xml:space="preserve"> wheelchair in the Motor Vehicle Standards (Road Vehicles) Determination 2017 and its replacement the Road Vehicle Standards (Classes of Vehicles that are not Road Vehicles) Determination to replace ‘</w:t>
      </w:r>
      <w:proofErr w:type="spellStart"/>
      <w:r>
        <w:rPr>
          <w:lang w:val="en-US"/>
        </w:rPr>
        <w:t>motorised</w:t>
      </w:r>
      <w:proofErr w:type="spellEnd"/>
      <w:r>
        <w:rPr>
          <w:lang w:val="en-US"/>
        </w:rPr>
        <w:t xml:space="preserve"> wheelchair’ with ‘</w:t>
      </w:r>
      <w:proofErr w:type="spellStart"/>
      <w:r>
        <w:rPr>
          <w:lang w:val="en-US"/>
        </w:rPr>
        <w:t>motorised</w:t>
      </w:r>
      <w:proofErr w:type="spellEnd"/>
      <w:r>
        <w:rPr>
          <w:lang w:val="en-US"/>
        </w:rPr>
        <w:t xml:space="preserve"> mobility device’, in line with the terminology used by NTC and </w:t>
      </w:r>
      <w:proofErr w:type="spellStart"/>
      <w:r>
        <w:rPr>
          <w:lang w:val="en-US"/>
        </w:rPr>
        <w:t>Austroads</w:t>
      </w:r>
      <w:proofErr w:type="spellEnd"/>
      <w:r>
        <w:rPr>
          <w:lang w:val="en-US"/>
        </w:rPr>
        <w:t xml:space="preserve"> papers.</w:t>
      </w:r>
    </w:p>
    <w:p w:rsidR="003E4E37" w:rsidRDefault="003E4E37" w:rsidP="003E4E37">
      <w:pPr>
        <w:pStyle w:val="ListParagraph"/>
        <w:numPr>
          <w:ilvl w:val="0"/>
          <w:numId w:val="5"/>
        </w:numPr>
        <w:rPr>
          <w:lang w:val="en-US"/>
        </w:rPr>
      </w:pPr>
      <w:r>
        <w:rPr>
          <w:lang w:val="en-US"/>
        </w:rPr>
        <w:t xml:space="preserve">The department supports the proposed change to the ARRs, noting that </w:t>
      </w:r>
      <w:r w:rsidR="008F2A42">
        <w:rPr>
          <w:lang w:val="en-US"/>
        </w:rPr>
        <w:t>it does not have a direct role in administering those arrangements.</w:t>
      </w:r>
    </w:p>
    <w:p w:rsidR="00766110" w:rsidRDefault="00766110" w:rsidP="00766110">
      <w:pPr>
        <w:rPr>
          <w:lang w:val="en-US"/>
        </w:rPr>
      </w:pPr>
      <w:r>
        <w:rPr>
          <w:lang w:val="en-US"/>
        </w:rPr>
        <w:t>Conclusion</w:t>
      </w:r>
    </w:p>
    <w:p w:rsidR="008F2A42" w:rsidRPr="008F2A42" w:rsidRDefault="00766110" w:rsidP="008F2A42">
      <w:pPr>
        <w:pStyle w:val="ListParagraph"/>
        <w:numPr>
          <w:ilvl w:val="0"/>
          <w:numId w:val="5"/>
        </w:numPr>
      </w:pPr>
      <w:r w:rsidRPr="008F2A42">
        <w:rPr>
          <w:lang w:val="en-US"/>
        </w:rPr>
        <w:t xml:space="preserve">The department </w:t>
      </w:r>
      <w:r w:rsidR="008F2A42">
        <w:rPr>
          <w:lang w:val="en-US"/>
        </w:rPr>
        <w:t>agrees with</w:t>
      </w:r>
      <w:r w:rsidRPr="008F2A42">
        <w:rPr>
          <w:lang w:val="en-US"/>
        </w:rPr>
        <w:t xml:space="preserve"> </w:t>
      </w:r>
      <w:r w:rsidR="00430972" w:rsidRPr="008F2A42">
        <w:rPr>
          <w:lang w:val="en-US"/>
        </w:rPr>
        <w:t>the pr</w:t>
      </w:r>
      <w:r w:rsidR="008F2A42">
        <w:rPr>
          <w:lang w:val="en-US"/>
        </w:rPr>
        <w:t>oposed changes to the ARRs, as set out in the discussion paper.</w:t>
      </w:r>
    </w:p>
    <w:p w:rsidR="00664E54" w:rsidRPr="00866E23" w:rsidRDefault="00FE251C" w:rsidP="008F2A42">
      <w:pPr>
        <w:pStyle w:val="ListParagraph"/>
        <w:numPr>
          <w:ilvl w:val="0"/>
          <w:numId w:val="5"/>
        </w:numPr>
      </w:pPr>
      <w:r w:rsidRPr="008F2A42">
        <w:rPr>
          <w:lang w:val="en-US"/>
        </w:rPr>
        <w:lastRenderedPageBreak/>
        <w:t>The department has started work to ensure that Commonwealth legislation aligns with</w:t>
      </w:r>
      <w:r w:rsidR="008F2A42">
        <w:rPr>
          <w:lang w:val="en-US"/>
        </w:rPr>
        <w:t xml:space="preserve"> the broader terminology of ‘</w:t>
      </w:r>
      <w:proofErr w:type="spellStart"/>
      <w:r w:rsidR="008F2A42">
        <w:rPr>
          <w:lang w:val="en-US"/>
        </w:rPr>
        <w:t>motorised</w:t>
      </w:r>
      <w:proofErr w:type="spellEnd"/>
      <w:r w:rsidR="008F2A42">
        <w:rPr>
          <w:lang w:val="en-US"/>
        </w:rPr>
        <w:t xml:space="preserve"> mobility device’</w:t>
      </w:r>
      <w:r w:rsidRPr="008F2A42">
        <w:rPr>
          <w:lang w:val="en-US"/>
        </w:rPr>
        <w:t>.</w:t>
      </w:r>
    </w:p>
    <w:sectPr w:rsidR="00664E54" w:rsidRPr="00866E23" w:rsidSect="004E7A3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268" w:right="1049" w:bottom="1259" w:left="1049"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ED8" w:rsidRDefault="00C50ED8" w:rsidP="003C4540">
      <w:pPr>
        <w:spacing w:after="0" w:line="240" w:lineRule="auto"/>
      </w:pPr>
      <w:r>
        <w:separator/>
      </w:r>
    </w:p>
  </w:endnote>
  <w:endnote w:type="continuationSeparator" w:id="0">
    <w:p w:rsidR="00C50ED8" w:rsidRDefault="00C50ED8" w:rsidP="003C4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A37" w:rsidRDefault="004E7A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630" w:rsidRDefault="00A35242" w:rsidP="00260630">
    <w:pPr>
      <w:pStyle w:val="Footer"/>
      <w:tabs>
        <w:tab w:val="clear" w:pos="4513"/>
        <w:tab w:val="clear" w:pos="9026"/>
        <w:tab w:val="left" w:pos="2550"/>
      </w:tabs>
    </w:pPr>
    <w:r>
      <w:rPr>
        <w:noProof/>
        <w:lang w:eastAsia="en-AU"/>
      </w:rPr>
      <w:drawing>
        <wp:anchor distT="0" distB="0" distL="114300" distR="114300" simplePos="0" relativeHeight="251691008" behindDoc="1" locked="0" layoutInCell="1" allowOverlap="0">
          <wp:simplePos x="666750" y="9715500"/>
          <wp:positionH relativeFrom="page">
            <wp:align>left</wp:align>
          </wp:positionH>
          <wp:positionV relativeFrom="page">
            <wp:align>bottom</wp:align>
          </wp:positionV>
          <wp:extent cx="7576185" cy="665480"/>
          <wp:effectExtent l="0" t="0" r="0" b="1270"/>
          <wp:wrapNone/>
          <wp:docPr id="6" name="Picture 6" descr="Great Cities. Strong Regions. Connecting Australian." title="Foot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76513" cy="666000"/>
                  </a:xfrm>
                  <a:prstGeom prst="rect">
                    <a:avLst/>
                  </a:prstGeom>
                </pic:spPr>
              </pic:pic>
            </a:graphicData>
          </a:graphic>
          <wp14:sizeRelH relativeFrom="margin">
            <wp14:pctWidth>0</wp14:pctWidth>
          </wp14:sizeRelH>
          <wp14:sizeRelV relativeFrom="margin">
            <wp14:pctHeight>0</wp14:pctHeight>
          </wp14:sizeRelV>
        </wp:anchor>
      </w:drawing>
    </w:r>
    <w:sdt>
      <w:sdtPr>
        <w:id w:val="258406250"/>
        <w:docPartObj>
          <w:docPartGallery w:val="Page Numbers (Bottom of Page)"/>
          <w:docPartUnique/>
        </w:docPartObj>
      </w:sdtPr>
      <w:sdtEndPr>
        <w:rPr>
          <w:noProof/>
        </w:rPr>
      </w:sdtEndPr>
      <w:sdtContent>
        <w:r w:rsidR="00260630">
          <w:fldChar w:fldCharType="begin"/>
        </w:r>
        <w:r w:rsidR="00260630">
          <w:instrText xml:space="preserve"> PAGE   \* MERGEFORMAT </w:instrText>
        </w:r>
        <w:r w:rsidR="00260630">
          <w:fldChar w:fldCharType="separate"/>
        </w:r>
        <w:r w:rsidR="009F1153">
          <w:rPr>
            <w:noProof/>
          </w:rPr>
          <w:t>4</w:t>
        </w:r>
        <w:r w:rsidR="00260630">
          <w:rPr>
            <w:noProof/>
          </w:rPr>
          <w:fldChar w:fldCharType="end"/>
        </w:r>
      </w:sdtContent>
    </w:sdt>
    <w:r w:rsidR="00260630">
      <w:rPr>
        <w:noProof/>
      </w:rPr>
      <w:tab/>
    </w:r>
  </w:p>
  <w:p w:rsidR="00AD6E3F" w:rsidRDefault="00AD6E3F" w:rsidP="00EF5353">
    <w:pPr>
      <w:pStyle w:val="Footer"/>
      <w:ind w:right="-1562"/>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748049"/>
      <w:docPartObj>
        <w:docPartGallery w:val="Page Numbers (Bottom of Page)"/>
        <w:docPartUnique/>
      </w:docPartObj>
    </w:sdtPr>
    <w:sdtEndPr>
      <w:rPr>
        <w:noProof/>
      </w:rPr>
    </w:sdtEndPr>
    <w:sdtContent>
      <w:p w:rsidR="00260630" w:rsidRDefault="00A35242">
        <w:pPr>
          <w:pStyle w:val="Footer"/>
        </w:pPr>
        <w:r>
          <w:rPr>
            <w:noProof/>
            <w:lang w:eastAsia="en-AU"/>
          </w:rPr>
          <w:drawing>
            <wp:anchor distT="0" distB="0" distL="114300" distR="114300" simplePos="0" relativeHeight="251689984" behindDoc="1" locked="0" layoutInCell="1" allowOverlap="1">
              <wp:simplePos x="666750" y="9953625"/>
              <wp:positionH relativeFrom="page">
                <wp:align>left</wp:align>
              </wp:positionH>
              <wp:positionV relativeFrom="page">
                <wp:align>bottom</wp:align>
              </wp:positionV>
              <wp:extent cx="7576513" cy="666000"/>
              <wp:effectExtent l="0" t="0" r="0" b="1270"/>
              <wp:wrapNone/>
              <wp:docPr id="4" name="Picture 4" descr="Great Cities. Strong Regions. Connecting Australian." title="Foot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76513" cy="666000"/>
                      </a:xfrm>
                      <a:prstGeom prst="rect">
                        <a:avLst/>
                      </a:prstGeom>
                    </pic:spPr>
                  </pic:pic>
                </a:graphicData>
              </a:graphic>
              <wp14:sizeRelH relativeFrom="margin">
                <wp14:pctWidth>0</wp14:pctWidth>
              </wp14:sizeRelH>
              <wp14:sizeRelV relativeFrom="margin">
                <wp14:pctHeight>0</wp14:pctHeight>
              </wp14:sizeRelV>
            </wp:anchor>
          </w:drawing>
        </w:r>
        <w:r w:rsidR="00260630">
          <w:fldChar w:fldCharType="begin"/>
        </w:r>
        <w:r w:rsidR="00260630">
          <w:instrText xml:space="preserve"> PAGE   \* MERGEFORMAT </w:instrText>
        </w:r>
        <w:r w:rsidR="00260630">
          <w:fldChar w:fldCharType="separate"/>
        </w:r>
        <w:r w:rsidR="009F1153">
          <w:rPr>
            <w:noProof/>
          </w:rPr>
          <w:t>1</w:t>
        </w:r>
        <w:r w:rsidR="00260630">
          <w:rPr>
            <w:noProof/>
          </w:rPr>
          <w:fldChar w:fldCharType="end"/>
        </w:r>
      </w:p>
    </w:sdtContent>
  </w:sdt>
  <w:p w:rsidR="00AD6E3F" w:rsidRDefault="00AD6E3F" w:rsidP="00260630">
    <w:pPr>
      <w:pStyle w:val="Footer"/>
      <w:tabs>
        <w:tab w:val="clear" w:pos="4513"/>
        <w:tab w:val="clear" w:pos="9026"/>
        <w:tab w:val="left" w:pos="724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ED8" w:rsidRDefault="00C50ED8" w:rsidP="003C4540">
      <w:pPr>
        <w:spacing w:after="0" w:line="240" w:lineRule="auto"/>
      </w:pPr>
      <w:r>
        <w:separator/>
      </w:r>
    </w:p>
  </w:footnote>
  <w:footnote w:type="continuationSeparator" w:id="0">
    <w:p w:rsidR="00C50ED8" w:rsidRDefault="00C50ED8" w:rsidP="003C4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A37" w:rsidRDefault="004E7A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A37" w:rsidRDefault="004E7A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E3F" w:rsidRDefault="005F13A8">
    <w:pPr>
      <w:pStyle w:val="Header"/>
    </w:pPr>
    <w:r>
      <w:rPr>
        <w:noProof/>
        <w:lang w:eastAsia="en-AU"/>
      </w:rPr>
      <w:drawing>
        <wp:anchor distT="0" distB="0" distL="114300" distR="114300" simplePos="0" relativeHeight="251687936" behindDoc="1" locked="1" layoutInCell="1" allowOverlap="1" wp14:anchorId="5E1BACE8" wp14:editId="22CE331A">
          <wp:simplePos x="0" y="0"/>
          <wp:positionH relativeFrom="page">
            <wp:align>left</wp:align>
          </wp:positionH>
          <wp:positionV relativeFrom="page">
            <wp:align>top</wp:align>
          </wp:positionV>
          <wp:extent cx="7560000" cy="1425600"/>
          <wp:effectExtent l="0" t="0" r="3175" b="3175"/>
          <wp:wrapNone/>
          <wp:docPr id="5" name="Picture 5" descr="Department of Infrastructure, Transport, Cities and Regional Development" title="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LETTER_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4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C0DF9"/>
    <w:multiLevelType w:val="hybridMultilevel"/>
    <w:tmpl w:val="59A44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277AE0"/>
    <w:multiLevelType w:val="hybridMultilevel"/>
    <w:tmpl w:val="BE1A714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A5144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FC51DF"/>
    <w:multiLevelType w:val="hybridMultilevel"/>
    <w:tmpl w:val="BE1A714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7E2E3C"/>
    <w:multiLevelType w:val="hybridMultilevel"/>
    <w:tmpl w:val="BE1A714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31108CD"/>
    <w:multiLevelType w:val="hybridMultilevel"/>
    <w:tmpl w:val="DD42C7BA"/>
    <w:lvl w:ilvl="0" w:tplc="39305420">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7E8752CF"/>
    <w:multiLevelType w:val="hybridMultilevel"/>
    <w:tmpl w:val="58869B58"/>
    <w:lvl w:ilvl="0" w:tplc="FFD8A4B8">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LockTheme/>
  <w:styleLockQFSet/>
  <w:defaultTabStop w:val="720"/>
  <w:characterSpacingControl w:val="doNotCompress"/>
  <w:hdrShapeDefaults>
    <o:shapedefaults v:ext="edit" spidmax="20481" style="mso-width-relative:margin;mso-height-relative:margin"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D8"/>
    <w:rsid w:val="00000347"/>
    <w:rsid w:val="00027916"/>
    <w:rsid w:val="00040EE5"/>
    <w:rsid w:val="000509D9"/>
    <w:rsid w:val="00062565"/>
    <w:rsid w:val="0007097F"/>
    <w:rsid w:val="000741A5"/>
    <w:rsid w:val="00077AD9"/>
    <w:rsid w:val="00097F0B"/>
    <w:rsid w:val="000A5BFC"/>
    <w:rsid w:val="000A6511"/>
    <w:rsid w:val="000C4BB9"/>
    <w:rsid w:val="000D442C"/>
    <w:rsid w:val="000E6776"/>
    <w:rsid w:val="000F7A71"/>
    <w:rsid w:val="00116590"/>
    <w:rsid w:val="001233AF"/>
    <w:rsid w:val="001263EF"/>
    <w:rsid w:val="0014717E"/>
    <w:rsid w:val="00160ABF"/>
    <w:rsid w:val="00170F56"/>
    <w:rsid w:val="0017583F"/>
    <w:rsid w:val="00176A93"/>
    <w:rsid w:val="001B4B39"/>
    <w:rsid w:val="001B73C8"/>
    <w:rsid w:val="001C0577"/>
    <w:rsid w:val="001D070E"/>
    <w:rsid w:val="001E3F05"/>
    <w:rsid w:val="001F743A"/>
    <w:rsid w:val="00210B7F"/>
    <w:rsid w:val="00211802"/>
    <w:rsid w:val="002132DA"/>
    <w:rsid w:val="00231F81"/>
    <w:rsid w:val="002550D5"/>
    <w:rsid w:val="00260630"/>
    <w:rsid w:val="00260D1B"/>
    <w:rsid w:val="002921B3"/>
    <w:rsid w:val="0029638A"/>
    <w:rsid w:val="002B7AC4"/>
    <w:rsid w:val="002D44FC"/>
    <w:rsid w:val="00303798"/>
    <w:rsid w:val="003211EF"/>
    <w:rsid w:val="00330F6B"/>
    <w:rsid w:val="003447A1"/>
    <w:rsid w:val="0034724B"/>
    <w:rsid w:val="003656CA"/>
    <w:rsid w:val="00367D07"/>
    <w:rsid w:val="00371748"/>
    <w:rsid w:val="00384150"/>
    <w:rsid w:val="00397168"/>
    <w:rsid w:val="003A4160"/>
    <w:rsid w:val="003A60F2"/>
    <w:rsid w:val="003B2073"/>
    <w:rsid w:val="003B6CDC"/>
    <w:rsid w:val="003C0B1E"/>
    <w:rsid w:val="003C4540"/>
    <w:rsid w:val="003D2F37"/>
    <w:rsid w:val="003D4EDC"/>
    <w:rsid w:val="003D50C7"/>
    <w:rsid w:val="003E4E37"/>
    <w:rsid w:val="003E7C3D"/>
    <w:rsid w:val="003F0910"/>
    <w:rsid w:val="0040033F"/>
    <w:rsid w:val="004030BD"/>
    <w:rsid w:val="00415078"/>
    <w:rsid w:val="0041695F"/>
    <w:rsid w:val="00430972"/>
    <w:rsid w:val="0043382B"/>
    <w:rsid w:val="00434037"/>
    <w:rsid w:val="004346CD"/>
    <w:rsid w:val="00441328"/>
    <w:rsid w:val="00442C82"/>
    <w:rsid w:val="0044777A"/>
    <w:rsid w:val="004974BF"/>
    <w:rsid w:val="004A2AC9"/>
    <w:rsid w:val="004A76E9"/>
    <w:rsid w:val="004B3900"/>
    <w:rsid w:val="004C0DD4"/>
    <w:rsid w:val="004D7B0C"/>
    <w:rsid w:val="004E7A37"/>
    <w:rsid w:val="004F0F5E"/>
    <w:rsid w:val="004F4230"/>
    <w:rsid w:val="004F4D80"/>
    <w:rsid w:val="004F7DCC"/>
    <w:rsid w:val="00515B6B"/>
    <w:rsid w:val="005364CD"/>
    <w:rsid w:val="00542666"/>
    <w:rsid w:val="0054543D"/>
    <w:rsid w:val="005471A1"/>
    <w:rsid w:val="0055088A"/>
    <w:rsid w:val="00573A57"/>
    <w:rsid w:val="00581DB5"/>
    <w:rsid w:val="005929EF"/>
    <w:rsid w:val="00593A4E"/>
    <w:rsid w:val="005A25BE"/>
    <w:rsid w:val="005A3576"/>
    <w:rsid w:val="005A3C04"/>
    <w:rsid w:val="005B17EC"/>
    <w:rsid w:val="005B3BE2"/>
    <w:rsid w:val="005B6B59"/>
    <w:rsid w:val="005D2F5D"/>
    <w:rsid w:val="005D5F02"/>
    <w:rsid w:val="005D6DAB"/>
    <w:rsid w:val="005F13A8"/>
    <w:rsid w:val="00603D91"/>
    <w:rsid w:val="006042FA"/>
    <w:rsid w:val="006069CB"/>
    <w:rsid w:val="00633A2E"/>
    <w:rsid w:val="00635ADF"/>
    <w:rsid w:val="006473EF"/>
    <w:rsid w:val="006571C8"/>
    <w:rsid w:val="00664E54"/>
    <w:rsid w:val="00665F5D"/>
    <w:rsid w:val="00676C0B"/>
    <w:rsid w:val="00685B4F"/>
    <w:rsid w:val="006A2636"/>
    <w:rsid w:val="006B2575"/>
    <w:rsid w:val="006B7E3B"/>
    <w:rsid w:val="006C0536"/>
    <w:rsid w:val="006D6DF2"/>
    <w:rsid w:val="006E7909"/>
    <w:rsid w:val="00712E9D"/>
    <w:rsid w:val="00715DF9"/>
    <w:rsid w:val="0071721F"/>
    <w:rsid w:val="0075240F"/>
    <w:rsid w:val="00766110"/>
    <w:rsid w:val="00780EB4"/>
    <w:rsid w:val="007933E8"/>
    <w:rsid w:val="007A2265"/>
    <w:rsid w:val="007A4BC0"/>
    <w:rsid w:val="007B01A2"/>
    <w:rsid w:val="007B4568"/>
    <w:rsid w:val="007B6277"/>
    <w:rsid w:val="007E26C6"/>
    <w:rsid w:val="007F255E"/>
    <w:rsid w:val="00815531"/>
    <w:rsid w:val="00825E1A"/>
    <w:rsid w:val="00840964"/>
    <w:rsid w:val="00853BC3"/>
    <w:rsid w:val="00860D96"/>
    <w:rsid w:val="00866E23"/>
    <w:rsid w:val="00875593"/>
    <w:rsid w:val="008813D9"/>
    <w:rsid w:val="00895AF8"/>
    <w:rsid w:val="00896E15"/>
    <w:rsid w:val="00896EAE"/>
    <w:rsid w:val="008A73AD"/>
    <w:rsid w:val="008B3270"/>
    <w:rsid w:val="008C0BE1"/>
    <w:rsid w:val="008C3520"/>
    <w:rsid w:val="008C7909"/>
    <w:rsid w:val="008D38D7"/>
    <w:rsid w:val="008F2A42"/>
    <w:rsid w:val="008F73C8"/>
    <w:rsid w:val="009072FA"/>
    <w:rsid w:val="00911052"/>
    <w:rsid w:val="00914D45"/>
    <w:rsid w:val="00930A2B"/>
    <w:rsid w:val="00942D9F"/>
    <w:rsid w:val="00945366"/>
    <w:rsid w:val="009707D5"/>
    <w:rsid w:val="009867D1"/>
    <w:rsid w:val="0099053F"/>
    <w:rsid w:val="009A5661"/>
    <w:rsid w:val="009E2A16"/>
    <w:rsid w:val="009F1153"/>
    <w:rsid w:val="00A11EB9"/>
    <w:rsid w:val="00A30127"/>
    <w:rsid w:val="00A35242"/>
    <w:rsid w:val="00A3734F"/>
    <w:rsid w:val="00A45D11"/>
    <w:rsid w:val="00A47179"/>
    <w:rsid w:val="00A54505"/>
    <w:rsid w:val="00A64956"/>
    <w:rsid w:val="00A727B5"/>
    <w:rsid w:val="00A732AF"/>
    <w:rsid w:val="00A742A4"/>
    <w:rsid w:val="00A77F3A"/>
    <w:rsid w:val="00A8301E"/>
    <w:rsid w:val="00A831CD"/>
    <w:rsid w:val="00A83B6C"/>
    <w:rsid w:val="00A908D6"/>
    <w:rsid w:val="00A94ECE"/>
    <w:rsid w:val="00AA3280"/>
    <w:rsid w:val="00AA64A9"/>
    <w:rsid w:val="00AB42A5"/>
    <w:rsid w:val="00AB4D7D"/>
    <w:rsid w:val="00AC17D0"/>
    <w:rsid w:val="00AC63F6"/>
    <w:rsid w:val="00AC76DC"/>
    <w:rsid w:val="00AD6E3F"/>
    <w:rsid w:val="00AE7935"/>
    <w:rsid w:val="00AF2086"/>
    <w:rsid w:val="00AF63C3"/>
    <w:rsid w:val="00AF74C3"/>
    <w:rsid w:val="00B00E43"/>
    <w:rsid w:val="00B2506A"/>
    <w:rsid w:val="00B25A9B"/>
    <w:rsid w:val="00B3405B"/>
    <w:rsid w:val="00B356FB"/>
    <w:rsid w:val="00B402B9"/>
    <w:rsid w:val="00B41B88"/>
    <w:rsid w:val="00B53344"/>
    <w:rsid w:val="00B70742"/>
    <w:rsid w:val="00B81BB9"/>
    <w:rsid w:val="00B82387"/>
    <w:rsid w:val="00B96273"/>
    <w:rsid w:val="00BA2440"/>
    <w:rsid w:val="00BC7EB6"/>
    <w:rsid w:val="00BD3B92"/>
    <w:rsid w:val="00BD48AB"/>
    <w:rsid w:val="00BD6CE0"/>
    <w:rsid w:val="00BF771A"/>
    <w:rsid w:val="00C17BEE"/>
    <w:rsid w:val="00C313B0"/>
    <w:rsid w:val="00C33DF9"/>
    <w:rsid w:val="00C470FF"/>
    <w:rsid w:val="00C50ED8"/>
    <w:rsid w:val="00C62D4C"/>
    <w:rsid w:val="00C72E9F"/>
    <w:rsid w:val="00C852BD"/>
    <w:rsid w:val="00C90DDF"/>
    <w:rsid w:val="00C9428A"/>
    <w:rsid w:val="00CA4D92"/>
    <w:rsid w:val="00CC1493"/>
    <w:rsid w:val="00CC275A"/>
    <w:rsid w:val="00CD3D74"/>
    <w:rsid w:val="00CE1A39"/>
    <w:rsid w:val="00CF3284"/>
    <w:rsid w:val="00CF378A"/>
    <w:rsid w:val="00D1398A"/>
    <w:rsid w:val="00D766D1"/>
    <w:rsid w:val="00D91192"/>
    <w:rsid w:val="00DA213F"/>
    <w:rsid w:val="00DA2C78"/>
    <w:rsid w:val="00DB0ECB"/>
    <w:rsid w:val="00DC2970"/>
    <w:rsid w:val="00DC7660"/>
    <w:rsid w:val="00DD1D42"/>
    <w:rsid w:val="00DD3951"/>
    <w:rsid w:val="00DD79A2"/>
    <w:rsid w:val="00DE6D2B"/>
    <w:rsid w:val="00E14393"/>
    <w:rsid w:val="00E160CA"/>
    <w:rsid w:val="00E274DD"/>
    <w:rsid w:val="00E41452"/>
    <w:rsid w:val="00E46E36"/>
    <w:rsid w:val="00E63EAE"/>
    <w:rsid w:val="00E77C84"/>
    <w:rsid w:val="00E87A36"/>
    <w:rsid w:val="00E93A2A"/>
    <w:rsid w:val="00EF5353"/>
    <w:rsid w:val="00F05339"/>
    <w:rsid w:val="00F22F63"/>
    <w:rsid w:val="00F25C8D"/>
    <w:rsid w:val="00F26907"/>
    <w:rsid w:val="00F47424"/>
    <w:rsid w:val="00F723EA"/>
    <w:rsid w:val="00F86541"/>
    <w:rsid w:val="00F94767"/>
    <w:rsid w:val="00F962D2"/>
    <w:rsid w:val="00F97314"/>
    <w:rsid w:val="00FA11A4"/>
    <w:rsid w:val="00FA166B"/>
    <w:rsid w:val="00FC797E"/>
    <w:rsid w:val="00FD7048"/>
    <w:rsid w:val="00FE251C"/>
    <w:rsid w:val="00FE3174"/>
    <w:rsid w:val="00FE3690"/>
    <w:rsid w:val="00FE394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style="mso-width-relative:margin;mso-height-relative:margin" fillcolor="white">
      <v:fill color="white"/>
    </o:shapedefaults>
    <o:shapelayout v:ext="edit">
      <o:idmap v:ext="edit" data="1"/>
    </o:shapelayout>
  </w:shapeDefaults>
  <w:decimalSymbol w:val="."/>
  <w:listSeparator w:val=","/>
  <w14:docId w14:val="5AAB777F"/>
  <w15:docId w15:val="{29247344-4D2F-4B2D-A6E1-EBE89F62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71A"/>
    <w:pPr>
      <w:spacing w:before="100" w:after="100" w:line="288" w:lineRule="auto"/>
    </w:pPr>
    <w:rPr>
      <w:sz w:val="20"/>
    </w:rPr>
  </w:style>
  <w:style w:type="paragraph" w:styleId="Heading1">
    <w:name w:val="heading 1"/>
    <w:basedOn w:val="Normal"/>
    <w:next w:val="Normal"/>
    <w:link w:val="Heading1Char"/>
    <w:uiPriority w:val="9"/>
    <w:qFormat/>
    <w:rsid w:val="007A4BC0"/>
    <w:pPr>
      <w:keepNext/>
      <w:keepLines/>
      <w:spacing w:before="400" w:line="240" w:lineRule="auto"/>
      <w:outlineLvl w:val="0"/>
    </w:pPr>
    <w:rPr>
      <w:rFonts w:asciiTheme="majorHAnsi" w:eastAsiaTheme="majorEastAsia" w:hAnsiTheme="majorHAnsi" w:cstheme="majorBidi"/>
      <w:bCs/>
      <w:color w:val="002D72"/>
      <w:sz w:val="44"/>
      <w:szCs w:val="28"/>
    </w:rPr>
  </w:style>
  <w:style w:type="paragraph" w:styleId="Heading2">
    <w:name w:val="heading 2"/>
    <w:basedOn w:val="Normal"/>
    <w:next w:val="Normal"/>
    <w:link w:val="Heading2Char"/>
    <w:uiPriority w:val="9"/>
    <w:unhideWhenUsed/>
    <w:qFormat/>
    <w:rsid w:val="00712E9D"/>
    <w:pPr>
      <w:keepNext/>
      <w:keepLines/>
      <w:spacing w:before="200" w:line="240" w:lineRule="auto"/>
      <w:outlineLvl w:val="1"/>
    </w:pPr>
    <w:rPr>
      <w:rFonts w:asciiTheme="majorHAnsi" w:eastAsiaTheme="majorEastAsia" w:hAnsiTheme="majorHAnsi" w:cstheme="majorBidi"/>
      <w:bCs/>
      <w:color w:val="002D72"/>
      <w:sz w:val="36"/>
      <w:szCs w:val="26"/>
    </w:rPr>
  </w:style>
  <w:style w:type="paragraph" w:styleId="Heading3">
    <w:name w:val="heading 3"/>
    <w:basedOn w:val="Normal"/>
    <w:next w:val="Normal"/>
    <w:link w:val="Heading3Char"/>
    <w:uiPriority w:val="9"/>
    <w:unhideWhenUsed/>
    <w:qFormat/>
    <w:rsid w:val="00712E9D"/>
    <w:pPr>
      <w:keepNext/>
      <w:keepLines/>
      <w:spacing w:before="200" w:after="0" w:line="240" w:lineRule="auto"/>
      <w:outlineLvl w:val="2"/>
    </w:pPr>
    <w:rPr>
      <w:rFonts w:ascii="Segoe UI Semibold" w:eastAsiaTheme="majorEastAsia" w:hAnsi="Segoe UI Semibold" w:cstheme="majorBidi"/>
      <w:bCs/>
      <w:color w:val="7C878E"/>
      <w:sz w:val="28"/>
    </w:rPr>
  </w:style>
  <w:style w:type="paragraph" w:styleId="Heading4">
    <w:name w:val="heading 4"/>
    <w:aliases w:val="******"/>
    <w:basedOn w:val="Normal"/>
    <w:next w:val="Normal"/>
    <w:link w:val="Heading4Char"/>
    <w:uiPriority w:val="9"/>
    <w:unhideWhenUsed/>
    <w:qFormat/>
    <w:rsid w:val="00D91192"/>
    <w:pPr>
      <w:keepNext/>
      <w:keepLines/>
      <w:spacing w:before="200" w:after="0" w:line="240" w:lineRule="auto"/>
      <w:outlineLvl w:val="3"/>
    </w:pPr>
    <w:rPr>
      <w:rFonts w:ascii="Segoe UI Semibold" w:eastAsiaTheme="majorEastAsia" w:hAnsi="Segoe UI Semibold" w:cstheme="majorBidi"/>
      <w:bCs/>
      <w:iCs/>
      <w:color w:val="7C878E"/>
      <w:sz w:val="22"/>
    </w:rPr>
  </w:style>
  <w:style w:type="paragraph" w:styleId="Heading5">
    <w:name w:val="heading 5"/>
    <w:basedOn w:val="Normal"/>
    <w:next w:val="Normal"/>
    <w:link w:val="Heading5Char"/>
    <w:uiPriority w:val="9"/>
    <w:unhideWhenUsed/>
    <w:rsid w:val="00062565"/>
    <w:pPr>
      <w:keepNext/>
      <w:keepLines/>
      <w:spacing w:beforeAutospacing="1" w:after="0" w:line="240" w:lineRule="auto"/>
      <w:outlineLvl w:val="4"/>
    </w:pPr>
    <w:rPr>
      <w:rFonts w:asciiTheme="majorHAnsi" w:eastAsiaTheme="majorEastAsia" w:hAnsiTheme="majorHAnsi" w:cstheme="majorBidi"/>
      <w:color w:val="002D72" w:themeColor="text1"/>
      <w:sz w:val="22"/>
    </w:rPr>
  </w:style>
  <w:style w:type="paragraph" w:styleId="Heading6">
    <w:name w:val="heading 6"/>
    <w:basedOn w:val="Normal"/>
    <w:next w:val="Normal"/>
    <w:link w:val="Heading6Char"/>
    <w:uiPriority w:val="9"/>
    <w:unhideWhenUsed/>
    <w:rsid w:val="00062565"/>
    <w:pPr>
      <w:keepNext/>
      <w:keepLines/>
      <w:spacing w:before="40" w:after="0"/>
      <w:outlineLvl w:val="5"/>
    </w:pPr>
    <w:rPr>
      <w:rFonts w:asciiTheme="majorHAnsi" w:eastAsiaTheme="majorEastAsia" w:hAnsiTheme="majorHAnsi" w:cstheme="majorBidi"/>
      <w:i/>
      <w:color w:val="002D72" w:themeColor="text1"/>
      <w:sz w:val="22"/>
    </w:rPr>
  </w:style>
  <w:style w:type="paragraph" w:styleId="Heading7">
    <w:name w:val="heading 7"/>
    <w:basedOn w:val="Normal"/>
    <w:next w:val="Normal"/>
    <w:link w:val="Heading7Char"/>
    <w:uiPriority w:val="9"/>
    <w:unhideWhenUsed/>
    <w:rsid w:val="00062565"/>
    <w:pPr>
      <w:keepNext/>
      <w:keepLines/>
      <w:spacing w:before="40" w:after="0"/>
      <w:outlineLvl w:val="6"/>
    </w:pPr>
    <w:rPr>
      <w:rFonts w:asciiTheme="majorHAnsi" w:eastAsiaTheme="majorEastAsia" w:hAnsiTheme="majorHAnsi" w:cstheme="majorBidi"/>
      <w:iCs/>
      <w:color w:val="002D72" w:themeColor="text1"/>
    </w:rPr>
  </w:style>
  <w:style w:type="paragraph" w:styleId="Heading8">
    <w:name w:val="heading 8"/>
    <w:basedOn w:val="Normal"/>
    <w:next w:val="Normal"/>
    <w:link w:val="Heading8Char"/>
    <w:uiPriority w:val="9"/>
    <w:unhideWhenUsed/>
    <w:rsid w:val="00062565"/>
    <w:pPr>
      <w:keepNext/>
      <w:keepLines/>
      <w:spacing w:before="40" w:after="0"/>
      <w:outlineLvl w:val="7"/>
    </w:pPr>
    <w:rPr>
      <w:rFonts w:asciiTheme="majorHAnsi" w:eastAsiaTheme="majorEastAsia" w:hAnsiTheme="majorHAnsi" w:cstheme="majorBidi"/>
      <w:i/>
      <w:color w:val="002D72"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540"/>
  </w:style>
  <w:style w:type="paragraph" w:styleId="Footer">
    <w:name w:val="footer"/>
    <w:basedOn w:val="Normal"/>
    <w:link w:val="FooterChar"/>
    <w:uiPriority w:val="99"/>
    <w:unhideWhenUsed/>
    <w:rsid w:val="003C4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540"/>
  </w:style>
  <w:style w:type="paragraph" w:styleId="BalloonText">
    <w:name w:val="Balloon Text"/>
    <w:basedOn w:val="Normal"/>
    <w:link w:val="BalloonTextChar"/>
    <w:uiPriority w:val="99"/>
    <w:semiHidden/>
    <w:unhideWhenUsed/>
    <w:rsid w:val="003C4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540"/>
    <w:rPr>
      <w:rFonts w:ascii="Tahoma" w:hAnsi="Tahoma" w:cs="Tahoma"/>
      <w:sz w:val="16"/>
      <w:szCs w:val="16"/>
    </w:rPr>
  </w:style>
  <w:style w:type="paragraph" w:customStyle="1" w:styleId="BasicParagraph">
    <w:name w:val="[Basic Paragraph]"/>
    <w:basedOn w:val="Normal"/>
    <w:uiPriority w:val="99"/>
    <w:rsid w:val="007A4BC0"/>
    <w:pPr>
      <w:autoSpaceDE w:val="0"/>
      <w:autoSpaceDN w:val="0"/>
      <w:adjustRightInd w:val="0"/>
      <w:spacing w:after="0"/>
      <w:textAlignment w:val="center"/>
    </w:pPr>
    <w:rPr>
      <w:rFonts w:cs="MinionPro-Regular"/>
      <w:color w:val="000000"/>
      <w:szCs w:val="24"/>
      <w:lang w:val="en-GB"/>
    </w:rPr>
  </w:style>
  <w:style w:type="paragraph" w:styleId="Subtitle">
    <w:name w:val="Subtitle"/>
    <w:aliases w:val="Issue No"/>
    <w:basedOn w:val="Normal"/>
    <w:next w:val="Normal"/>
    <w:link w:val="SubtitleChar"/>
    <w:uiPriority w:val="11"/>
    <w:rsid w:val="00AC63F6"/>
    <w:pPr>
      <w:numPr>
        <w:ilvl w:val="1"/>
      </w:numPr>
      <w:spacing w:after="120" w:line="240" w:lineRule="auto"/>
      <w:jc w:val="right"/>
    </w:pPr>
    <w:rPr>
      <w:rFonts w:eastAsiaTheme="majorEastAsia" w:cstheme="majorBidi"/>
      <w:iCs/>
      <w:color w:val="FFFFFF" w:themeColor="background1"/>
      <w:spacing w:val="20"/>
      <w:szCs w:val="24"/>
    </w:rPr>
  </w:style>
  <w:style w:type="character" w:customStyle="1" w:styleId="SubtitleChar">
    <w:name w:val="Subtitle Char"/>
    <w:aliases w:val="Issue No Char"/>
    <w:basedOn w:val="DefaultParagraphFont"/>
    <w:link w:val="Subtitle"/>
    <w:uiPriority w:val="11"/>
    <w:rsid w:val="00AC63F6"/>
    <w:rPr>
      <w:rFonts w:ascii="Arial" w:eastAsiaTheme="majorEastAsia" w:hAnsi="Arial" w:cstheme="majorBidi"/>
      <w:iCs/>
      <w:color w:val="FFFFFF" w:themeColor="background1"/>
      <w:spacing w:val="20"/>
      <w:sz w:val="20"/>
      <w:szCs w:val="24"/>
    </w:rPr>
  </w:style>
  <w:style w:type="paragraph" w:styleId="NoSpacing">
    <w:name w:val="No Spacing"/>
    <w:uiPriority w:val="1"/>
    <w:qFormat/>
    <w:rsid w:val="001E3F05"/>
    <w:pPr>
      <w:spacing w:after="0" w:line="240" w:lineRule="auto"/>
    </w:pPr>
    <w:rPr>
      <w:sz w:val="20"/>
    </w:rPr>
  </w:style>
  <w:style w:type="character" w:styleId="SubtleEmphasis">
    <w:name w:val="Subtle Emphasis"/>
    <w:basedOn w:val="DefaultParagraphFont"/>
    <w:uiPriority w:val="19"/>
    <w:qFormat/>
    <w:rsid w:val="007A4BC0"/>
    <w:rPr>
      <w:rFonts w:ascii="Segoe UI Semibold" w:hAnsi="Segoe UI Semibold"/>
      <w:b w:val="0"/>
      <w:i w:val="0"/>
      <w:iCs/>
      <w:color w:val="auto"/>
    </w:rPr>
  </w:style>
  <w:style w:type="character" w:styleId="Emphasis">
    <w:name w:val="Emphasis"/>
    <w:basedOn w:val="DefaultParagraphFont"/>
    <w:uiPriority w:val="20"/>
    <w:qFormat/>
    <w:rsid w:val="007A4BC0"/>
    <w:rPr>
      <w:b/>
      <w:i w:val="0"/>
      <w:iCs/>
    </w:rPr>
  </w:style>
  <w:style w:type="paragraph" w:styleId="Quote">
    <w:name w:val="Quote"/>
    <w:aliases w:val="Classification"/>
    <w:basedOn w:val="Normal"/>
    <w:next w:val="Normal"/>
    <w:link w:val="QuoteChar"/>
    <w:uiPriority w:val="29"/>
    <w:rsid w:val="00B3405B"/>
    <w:pPr>
      <w:spacing w:after="0"/>
      <w:jc w:val="center"/>
    </w:pPr>
    <w:rPr>
      <w:rFonts w:ascii="Arial Narrow" w:hAnsi="Arial Narrow"/>
      <w:iCs/>
      <w:color w:val="FFFFFF" w:themeColor="background1"/>
      <w:sz w:val="28"/>
    </w:rPr>
  </w:style>
  <w:style w:type="character" w:customStyle="1" w:styleId="QuoteChar">
    <w:name w:val="Quote Char"/>
    <w:aliases w:val="Classification Char"/>
    <w:basedOn w:val="DefaultParagraphFont"/>
    <w:link w:val="Quote"/>
    <w:uiPriority w:val="29"/>
    <w:rsid w:val="00B3405B"/>
    <w:rPr>
      <w:rFonts w:ascii="Arial Narrow" w:hAnsi="Arial Narrow"/>
      <w:iCs/>
      <w:color w:val="FFFFFF" w:themeColor="background1"/>
      <w:sz w:val="28"/>
    </w:rPr>
  </w:style>
  <w:style w:type="character" w:customStyle="1" w:styleId="Heading1Char">
    <w:name w:val="Heading 1 Char"/>
    <w:basedOn w:val="DefaultParagraphFont"/>
    <w:link w:val="Heading1"/>
    <w:uiPriority w:val="9"/>
    <w:rsid w:val="007A4BC0"/>
    <w:rPr>
      <w:rFonts w:asciiTheme="majorHAnsi" w:eastAsiaTheme="majorEastAsia" w:hAnsiTheme="majorHAnsi" w:cstheme="majorBidi"/>
      <w:bCs/>
      <w:color w:val="002D72"/>
      <w:sz w:val="44"/>
      <w:szCs w:val="28"/>
    </w:rPr>
  </w:style>
  <w:style w:type="character" w:customStyle="1" w:styleId="Heading2Char">
    <w:name w:val="Heading 2 Char"/>
    <w:basedOn w:val="DefaultParagraphFont"/>
    <w:link w:val="Heading2"/>
    <w:uiPriority w:val="9"/>
    <w:rsid w:val="00712E9D"/>
    <w:rPr>
      <w:rFonts w:asciiTheme="majorHAnsi" w:eastAsiaTheme="majorEastAsia" w:hAnsiTheme="majorHAnsi" w:cstheme="majorBidi"/>
      <w:bCs/>
      <w:color w:val="002D72"/>
      <w:sz w:val="36"/>
      <w:szCs w:val="26"/>
    </w:rPr>
  </w:style>
  <w:style w:type="character" w:customStyle="1" w:styleId="Heading3Char">
    <w:name w:val="Heading 3 Char"/>
    <w:basedOn w:val="DefaultParagraphFont"/>
    <w:link w:val="Heading3"/>
    <w:uiPriority w:val="9"/>
    <w:rsid w:val="00712E9D"/>
    <w:rPr>
      <w:rFonts w:ascii="Segoe UI Semibold" w:eastAsiaTheme="majorEastAsia" w:hAnsi="Segoe UI Semibold" w:cstheme="majorBidi"/>
      <w:bCs/>
      <w:color w:val="7C878E"/>
      <w:sz w:val="28"/>
    </w:rPr>
  </w:style>
  <w:style w:type="paragraph" w:styleId="ListParagraph">
    <w:name w:val="List Paragraph"/>
    <w:aliases w:val="Bullets"/>
    <w:basedOn w:val="Normal"/>
    <w:uiPriority w:val="34"/>
    <w:qFormat/>
    <w:rsid w:val="00BF771A"/>
    <w:pPr>
      <w:numPr>
        <w:numId w:val="2"/>
      </w:numPr>
      <w:ind w:left="284" w:hanging="284"/>
      <w:contextualSpacing/>
    </w:pPr>
  </w:style>
  <w:style w:type="character" w:customStyle="1" w:styleId="Heading4Char">
    <w:name w:val="Heading 4 Char"/>
    <w:aliases w:val="****** Char"/>
    <w:basedOn w:val="DefaultParagraphFont"/>
    <w:link w:val="Heading4"/>
    <w:uiPriority w:val="9"/>
    <w:rsid w:val="00D91192"/>
    <w:rPr>
      <w:rFonts w:ascii="Segoe UI Semibold" w:eastAsiaTheme="majorEastAsia" w:hAnsi="Segoe UI Semibold" w:cstheme="majorBidi"/>
      <w:bCs/>
      <w:iCs/>
      <w:color w:val="7C878E"/>
    </w:rPr>
  </w:style>
  <w:style w:type="character" w:customStyle="1" w:styleId="Heading5Char">
    <w:name w:val="Heading 5 Char"/>
    <w:basedOn w:val="DefaultParagraphFont"/>
    <w:link w:val="Heading5"/>
    <w:uiPriority w:val="9"/>
    <w:rsid w:val="00062565"/>
    <w:rPr>
      <w:rFonts w:asciiTheme="majorHAnsi" w:eastAsiaTheme="majorEastAsia" w:hAnsiTheme="majorHAnsi" w:cstheme="majorBidi"/>
      <w:color w:val="002D72" w:themeColor="text1"/>
    </w:rPr>
  </w:style>
  <w:style w:type="paragraph" w:styleId="Title">
    <w:name w:val="Title"/>
    <w:basedOn w:val="Normal"/>
    <w:next w:val="Normal"/>
    <w:link w:val="TitleChar"/>
    <w:uiPriority w:val="10"/>
    <w:rsid w:val="00E14393"/>
    <w:pPr>
      <w:spacing w:before="0" w:after="120" w:line="440" w:lineRule="exact"/>
      <w:contextualSpacing/>
    </w:pPr>
    <w:rPr>
      <w:rFonts w:eastAsiaTheme="majorEastAsia" w:cstheme="majorBidi"/>
      <w:color w:val="002D72" w:themeColor="text1"/>
      <w:spacing w:val="5"/>
      <w:kern w:val="28"/>
      <w:sz w:val="44"/>
      <w:szCs w:val="52"/>
    </w:rPr>
  </w:style>
  <w:style w:type="character" w:customStyle="1" w:styleId="TitleChar">
    <w:name w:val="Title Char"/>
    <w:basedOn w:val="DefaultParagraphFont"/>
    <w:link w:val="Title"/>
    <w:uiPriority w:val="10"/>
    <w:rsid w:val="00E14393"/>
    <w:rPr>
      <w:rFonts w:eastAsiaTheme="majorEastAsia" w:cstheme="majorBidi"/>
      <w:color w:val="002D72" w:themeColor="text1"/>
      <w:spacing w:val="5"/>
      <w:kern w:val="28"/>
      <w:sz w:val="44"/>
      <w:szCs w:val="52"/>
    </w:rPr>
  </w:style>
  <w:style w:type="character" w:styleId="BookTitle">
    <w:name w:val="Book Title"/>
    <w:basedOn w:val="DefaultParagraphFont"/>
    <w:uiPriority w:val="33"/>
    <w:rsid w:val="003C0B1E"/>
    <w:rPr>
      <w:rFonts w:ascii="Arial" w:hAnsi="Arial"/>
      <w:b/>
      <w:bCs/>
      <w:color w:val="FFFFFF" w:themeColor="background1"/>
      <w:spacing w:val="5"/>
      <w:sz w:val="34"/>
    </w:rPr>
  </w:style>
  <w:style w:type="table" w:styleId="TableGrid">
    <w:name w:val="Table Grid"/>
    <w:basedOn w:val="TableNormal"/>
    <w:uiPriority w:val="59"/>
    <w:rsid w:val="006B2575"/>
    <w:pPr>
      <w:spacing w:after="0" w:line="240" w:lineRule="auto"/>
    </w:pPr>
    <w:tblPr>
      <w:tblBorders>
        <w:top w:val="single" w:sz="4" w:space="0" w:color="002D72" w:themeColor="text1"/>
        <w:left w:val="single" w:sz="4" w:space="0" w:color="002D72" w:themeColor="text1"/>
        <w:bottom w:val="single" w:sz="4" w:space="0" w:color="002D72" w:themeColor="text1"/>
        <w:right w:val="single" w:sz="4" w:space="0" w:color="002D72" w:themeColor="text1"/>
        <w:insideH w:val="single" w:sz="4" w:space="0" w:color="002D72" w:themeColor="text1"/>
        <w:insideV w:val="single" w:sz="4" w:space="0" w:color="002D72" w:themeColor="text1"/>
      </w:tblBorders>
    </w:tblPr>
  </w:style>
  <w:style w:type="table" w:customStyle="1" w:styleId="LightShading-Accent11">
    <w:name w:val="Light Shading - Accent 11"/>
    <w:basedOn w:val="TableNormal"/>
    <w:uiPriority w:val="60"/>
    <w:rsid w:val="002D44FC"/>
    <w:pPr>
      <w:spacing w:after="0" w:line="240" w:lineRule="auto"/>
    </w:pPr>
    <w:rPr>
      <w:color w:val="002155" w:themeColor="accent1" w:themeShade="BF"/>
    </w:rPr>
    <w:tblPr>
      <w:tblStyleRowBandSize w:val="1"/>
      <w:tblStyleColBandSize w:val="1"/>
      <w:tblBorders>
        <w:top w:val="single" w:sz="8" w:space="0" w:color="002D72" w:themeColor="accent1"/>
        <w:bottom w:val="single" w:sz="8" w:space="0" w:color="002D72" w:themeColor="accent1"/>
      </w:tblBorders>
    </w:tblPr>
    <w:tblStylePr w:type="firstRow">
      <w:pPr>
        <w:spacing w:before="0" w:after="0" w:line="240" w:lineRule="auto"/>
      </w:pPr>
      <w:rPr>
        <w:b/>
        <w:bCs/>
      </w:rPr>
      <w:tblPr/>
      <w:tcPr>
        <w:tcBorders>
          <w:top w:val="single" w:sz="8" w:space="0" w:color="002D72" w:themeColor="accent1"/>
          <w:left w:val="nil"/>
          <w:bottom w:val="single" w:sz="8" w:space="0" w:color="002D72" w:themeColor="accent1"/>
          <w:right w:val="nil"/>
          <w:insideH w:val="nil"/>
          <w:insideV w:val="nil"/>
        </w:tcBorders>
      </w:tcPr>
    </w:tblStylePr>
    <w:tblStylePr w:type="lastRow">
      <w:pPr>
        <w:spacing w:before="0" w:after="0" w:line="240" w:lineRule="auto"/>
      </w:pPr>
      <w:rPr>
        <w:b/>
        <w:bCs/>
      </w:rPr>
      <w:tblPr/>
      <w:tcPr>
        <w:tcBorders>
          <w:top w:val="single" w:sz="8" w:space="0" w:color="002D72" w:themeColor="accent1"/>
          <w:left w:val="nil"/>
          <w:bottom w:val="single" w:sz="8" w:space="0" w:color="002D7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DC3FF" w:themeFill="accent1" w:themeFillTint="3F"/>
      </w:tcPr>
    </w:tblStylePr>
    <w:tblStylePr w:type="band1Horz">
      <w:tblPr/>
      <w:tcPr>
        <w:tcBorders>
          <w:left w:val="nil"/>
          <w:right w:val="nil"/>
          <w:insideH w:val="nil"/>
          <w:insideV w:val="nil"/>
        </w:tcBorders>
        <w:shd w:val="clear" w:color="auto" w:fill="9DC3FF" w:themeFill="accent1" w:themeFillTint="3F"/>
      </w:tcPr>
    </w:tblStylePr>
  </w:style>
  <w:style w:type="table" w:customStyle="1" w:styleId="LightShading1">
    <w:name w:val="Light Shading1"/>
    <w:basedOn w:val="TableNormal"/>
    <w:uiPriority w:val="60"/>
    <w:rsid w:val="006B2575"/>
    <w:pPr>
      <w:spacing w:after="0" w:line="240" w:lineRule="auto"/>
    </w:pPr>
    <w:rPr>
      <w:color w:val="002155" w:themeColor="text1" w:themeShade="BF"/>
    </w:rPr>
    <w:tblPr>
      <w:tblStyleRowBandSize w:val="1"/>
      <w:tblStyleColBandSize w:val="1"/>
      <w:tblBorders>
        <w:top w:val="single" w:sz="8" w:space="0" w:color="002D72" w:themeColor="text1"/>
        <w:bottom w:val="single" w:sz="8" w:space="0" w:color="002D72" w:themeColor="text1"/>
      </w:tblBorders>
    </w:tblPr>
    <w:tblStylePr w:type="firstRow">
      <w:pPr>
        <w:spacing w:before="0" w:after="0" w:line="240" w:lineRule="auto"/>
      </w:pPr>
      <w:rPr>
        <w:b/>
        <w:bCs/>
      </w:rPr>
      <w:tblPr/>
      <w:tcPr>
        <w:tcBorders>
          <w:top w:val="single" w:sz="8" w:space="0" w:color="002D72" w:themeColor="text1"/>
          <w:left w:val="nil"/>
          <w:bottom w:val="single" w:sz="8" w:space="0" w:color="002D72" w:themeColor="text1"/>
          <w:right w:val="nil"/>
          <w:insideH w:val="nil"/>
          <w:insideV w:val="nil"/>
        </w:tcBorders>
      </w:tcPr>
    </w:tblStylePr>
    <w:tblStylePr w:type="lastRow">
      <w:pPr>
        <w:spacing w:before="0" w:after="0" w:line="240" w:lineRule="auto"/>
      </w:pPr>
      <w:rPr>
        <w:b/>
        <w:bCs/>
      </w:rPr>
      <w:tblPr/>
      <w:tcPr>
        <w:tcBorders>
          <w:top w:val="single" w:sz="8" w:space="0" w:color="002D72" w:themeColor="text1"/>
          <w:left w:val="nil"/>
          <w:bottom w:val="single" w:sz="8" w:space="0" w:color="002D7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DC3FF" w:themeFill="text1" w:themeFillTint="3F"/>
      </w:tcPr>
    </w:tblStylePr>
    <w:tblStylePr w:type="band1Horz">
      <w:tblPr/>
      <w:tcPr>
        <w:tcBorders>
          <w:left w:val="nil"/>
          <w:right w:val="nil"/>
          <w:insideH w:val="nil"/>
          <w:insideV w:val="nil"/>
        </w:tcBorders>
        <w:shd w:val="clear" w:color="auto" w:fill="9DC3FF" w:themeFill="text1" w:themeFillTint="3F"/>
      </w:tcPr>
    </w:tblStylePr>
  </w:style>
  <w:style w:type="table" w:styleId="LightShading-Accent5">
    <w:name w:val="Light Shading Accent 5"/>
    <w:basedOn w:val="TableNormal"/>
    <w:uiPriority w:val="60"/>
    <w:rsid w:val="006B2575"/>
    <w:pPr>
      <w:spacing w:after="0" w:line="240" w:lineRule="auto"/>
    </w:pPr>
    <w:rPr>
      <w:rFonts w:ascii="Arial" w:hAnsi="Arial"/>
      <w:color w:val="0043AD" w:themeColor="text1" w:themeTint="D9"/>
    </w:rPr>
    <w:tblPr>
      <w:tblStyleRowBandSize w:val="1"/>
      <w:tblStyleColBandSize w:val="1"/>
      <w:tblBorders>
        <w:top w:val="single" w:sz="8" w:space="0" w:color="007DC3"/>
        <w:bottom w:val="single" w:sz="8" w:space="0" w:color="007DC3"/>
      </w:tblBorders>
    </w:tblPr>
    <w:tcPr>
      <w:shd w:val="clear" w:color="auto" w:fill="auto"/>
    </w:tcPr>
    <w:tblStylePr w:type="firstRow">
      <w:pPr>
        <w:spacing w:before="0" w:after="0" w:line="240" w:lineRule="auto"/>
      </w:pPr>
      <w:rPr>
        <w:b/>
        <w:bCs/>
      </w:rPr>
      <w:tblPr/>
      <w:tcPr>
        <w:tcBorders>
          <w:top w:val="single" w:sz="8" w:space="0" w:color="FA4616" w:themeColor="accent5"/>
          <w:left w:val="nil"/>
          <w:bottom w:val="single" w:sz="8" w:space="0" w:color="FA4616" w:themeColor="accent5"/>
          <w:right w:val="nil"/>
          <w:insideH w:val="nil"/>
          <w:insideV w:val="nil"/>
        </w:tcBorders>
      </w:tcPr>
    </w:tblStylePr>
    <w:tblStylePr w:type="lastRow">
      <w:pPr>
        <w:spacing w:before="0" w:after="0" w:line="240" w:lineRule="auto"/>
      </w:pPr>
      <w:rPr>
        <w:b/>
        <w:bCs/>
      </w:rPr>
      <w:tblPr/>
      <w:tcPr>
        <w:tcBorders>
          <w:top w:val="single" w:sz="8" w:space="0" w:color="FA4616" w:themeColor="accent5"/>
          <w:left w:val="nil"/>
          <w:bottom w:val="single" w:sz="8" w:space="0" w:color="FA461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0C5" w:themeFill="accent5" w:themeFillTint="3F"/>
      </w:tcPr>
    </w:tblStylePr>
    <w:tblStylePr w:type="band1Horz">
      <w:tblPr/>
      <w:tcPr>
        <w:tcBorders>
          <w:left w:val="nil"/>
          <w:right w:val="nil"/>
          <w:insideH w:val="nil"/>
          <w:insideV w:val="nil"/>
        </w:tcBorders>
        <w:shd w:val="clear" w:color="auto" w:fill="FDD0C5" w:themeFill="accent5" w:themeFillTint="3F"/>
      </w:tcPr>
    </w:tblStylePr>
  </w:style>
  <w:style w:type="paragraph" w:customStyle="1" w:styleId="Tabletext">
    <w:name w:val="Table text"/>
    <w:basedOn w:val="Normal"/>
    <w:qFormat/>
    <w:rsid w:val="00C90DDF"/>
    <w:pPr>
      <w:spacing w:before="80" w:after="40" w:line="240" w:lineRule="auto"/>
    </w:pPr>
    <w:rPr>
      <w:bCs/>
      <w:sz w:val="18"/>
    </w:rPr>
  </w:style>
  <w:style w:type="paragraph" w:customStyle="1" w:styleId="Note">
    <w:name w:val="Note:"/>
    <w:basedOn w:val="Normal"/>
    <w:qFormat/>
    <w:rsid w:val="00942D9F"/>
    <w:pPr>
      <w:spacing w:before="0" w:after="160"/>
    </w:pPr>
    <w:rPr>
      <w:sz w:val="14"/>
    </w:rPr>
  </w:style>
  <w:style w:type="paragraph" w:customStyle="1" w:styleId="NormalRule">
    <w:name w:val="Normal Rule"/>
    <w:basedOn w:val="Normal"/>
    <w:qFormat/>
    <w:rsid w:val="00A727B5"/>
    <w:pPr>
      <w:pBdr>
        <w:bottom w:val="single" w:sz="2" w:space="1" w:color="808080" w:themeColor="background1" w:themeShade="80"/>
      </w:pBdr>
      <w:spacing w:after="240"/>
    </w:pPr>
  </w:style>
  <w:style w:type="paragraph" w:customStyle="1" w:styleId="Bullet">
    <w:name w:val="Bullet"/>
    <w:basedOn w:val="ListParagraph"/>
    <w:rsid w:val="00BF771A"/>
    <w:pPr>
      <w:numPr>
        <w:numId w:val="3"/>
      </w:numPr>
      <w:spacing w:before="60" w:after="60"/>
      <w:ind w:left="284" w:hanging="284"/>
    </w:pPr>
  </w:style>
  <w:style w:type="character" w:customStyle="1" w:styleId="Heading6Char">
    <w:name w:val="Heading 6 Char"/>
    <w:basedOn w:val="DefaultParagraphFont"/>
    <w:link w:val="Heading6"/>
    <w:uiPriority w:val="9"/>
    <w:rsid w:val="00062565"/>
    <w:rPr>
      <w:rFonts w:asciiTheme="majorHAnsi" w:eastAsiaTheme="majorEastAsia" w:hAnsiTheme="majorHAnsi" w:cstheme="majorBidi"/>
      <w:i/>
      <w:color w:val="002D72" w:themeColor="text1"/>
    </w:rPr>
  </w:style>
  <w:style w:type="table" w:styleId="LightShading-Accent3">
    <w:name w:val="Light Shading Accent 3"/>
    <w:basedOn w:val="TableNormal"/>
    <w:uiPriority w:val="60"/>
    <w:rsid w:val="00F47424"/>
    <w:pPr>
      <w:spacing w:after="0" w:line="240" w:lineRule="auto"/>
    </w:pPr>
    <w:rPr>
      <w:color w:val="628D00" w:themeColor="accent3" w:themeShade="BF"/>
    </w:rPr>
    <w:tblPr>
      <w:tblStyleRowBandSize w:val="1"/>
      <w:tblStyleColBandSize w:val="1"/>
      <w:tblBorders>
        <w:top w:val="single" w:sz="8" w:space="0" w:color="84BD00" w:themeColor="accent3"/>
        <w:bottom w:val="single" w:sz="8" w:space="0" w:color="84BD00" w:themeColor="accent3"/>
      </w:tblBorders>
    </w:tblPr>
    <w:tblStylePr w:type="firstRow">
      <w:pPr>
        <w:spacing w:before="0" w:after="0" w:line="240" w:lineRule="auto"/>
      </w:pPr>
      <w:rPr>
        <w:b/>
        <w:bCs/>
      </w:rPr>
      <w:tblPr/>
      <w:tcPr>
        <w:tcBorders>
          <w:top w:val="single" w:sz="8" w:space="0" w:color="84BD00" w:themeColor="accent3"/>
          <w:left w:val="nil"/>
          <w:bottom w:val="single" w:sz="8" w:space="0" w:color="84BD00" w:themeColor="accent3"/>
          <w:right w:val="nil"/>
          <w:insideH w:val="nil"/>
          <w:insideV w:val="nil"/>
        </w:tcBorders>
      </w:tcPr>
    </w:tblStylePr>
    <w:tblStylePr w:type="lastRow">
      <w:pPr>
        <w:spacing w:before="0" w:after="0" w:line="240" w:lineRule="auto"/>
      </w:pPr>
      <w:rPr>
        <w:b/>
        <w:bCs/>
      </w:rPr>
      <w:tblPr/>
      <w:tcPr>
        <w:tcBorders>
          <w:top w:val="single" w:sz="8" w:space="0" w:color="84BD00" w:themeColor="accent3"/>
          <w:left w:val="nil"/>
          <w:bottom w:val="single" w:sz="8" w:space="0" w:color="84BD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FAF" w:themeFill="accent3" w:themeFillTint="3F"/>
      </w:tcPr>
    </w:tblStylePr>
    <w:tblStylePr w:type="band1Horz">
      <w:tblPr/>
      <w:tcPr>
        <w:tcBorders>
          <w:left w:val="nil"/>
          <w:right w:val="nil"/>
          <w:insideH w:val="nil"/>
          <w:insideV w:val="nil"/>
        </w:tcBorders>
        <w:shd w:val="clear" w:color="auto" w:fill="E7FFAF" w:themeFill="accent3" w:themeFillTint="3F"/>
      </w:tcPr>
    </w:tblStylePr>
  </w:style>
  <w:style w:type="table" w:styleId="LightShading-Accent1">
    <w:name w:val="Light Shading Accent 1"/>
    <w:basedOn w:val="TableNormal"/>
    <w:uiPriority w:val="60"/>
    <w:rsid w:val="00AD6E3F"/>
    <w:pPr>
      <w:spacing w:after="0" w:line="240" w:lineRule="auto"/>
    </w:pPr>
    <w:rPr>
      <w:color w:val="002155" w:themeColor="accent1" w:themeShade="BF"/>
    </w:rPr>
    <w:tblPr>
      <w:tblStyleRowBandSize w:val="1"/>
      <w:tblStyleColBandSize w:val="1"/>
      <w:tblBorders>
        <w:top w:val="single" w:sz="8" w:space="0" w:color="002D72" w:themeColor="accent1"/>
        <w:bottom w:val="single" w:sz="8" w:space="0" w:color="002D72" w:themeColor="accent1"/>
      </w:tblBorders>
    </w:tblPr>
    <w:tblStylePr w:type="firstRow">
      <w:pPr>
        <w:spacing w:before="0" w:after="0" w:line="240" w:lineRule="auto"/>
      </w:pPr>
      <w:rPr>
        <w:b/>
        <w:bCs/>
      </w:rPr>
      <w:tblPr/>
      <w:tcPr>
        <w:tcBorders>
          <w:top w:val="single" w:sz="8" w:space="0" w:color="002D72" w:themeColor="accent1"/>
          <w:left w:val="nil"/>
          <w:bottom w:val="single" w:sz="8" w:space="0" w:color="002D72" w:themeColor="accent1"/>
          <w:right w:val="nil"/>
          <w:insideH w:val="nil"/>
          <w:insideV w:val="nil"/>
        </w:tcBorders>
      </w:tcPr>
    </w:tblStylePr>
    <w:tblStylePr w:type="lastRow">
      <w:pPr>
        <w:spacing w:before="0" w:after="0" w:line="240" w:lineRule="auto"/>
      </w:pPr>
      <w:rPr>
        <w:b/>
        <w:bCs/>
      </w:rPr>
      <w:tblPr/>
      <w:tcPr>
        <w:tcBorders>
          <w:top w:val="single" w:sz="8" w:space="0" w:color="002D72" w:themeColor="accent1"/>
          <w:left w:val="nil"/>
          <w:bottom w:val="single" w:sz="8" w:space="0" w:color="002D7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DC3FF" w:themeFill="accent1" w:themeFillTint="3F"/>
      </w:tcPr>
    </w:tblStylePr>
    <w:tblStylePr w:type="band1Horz">
      <w:tblPr/>
      <w:tcPr>
        <w:tcBorders>
          <w:left w:val="nil"/>
          <w:right w:val="nil"/>
          <w:insideH w:val="nil"/>
          <w:insideV w:val="nil"/>
        </w:tcBorders>
        <w:shd w:val="clear" w:color="auto" w:fill="9DC3FF" w:themeFill="accent1" w:themeFillTint="3F"/>
      </w:tcPr>
    </w:tblStylePr>
  </w:style>
  <w:style w:type="paragraph" w:customStyle="1" w:styleId="Listfiguretableheading">
    <w:name w:val="List/figure/table heading"/>
    <w:basedOn w:val="Heading2"/>
    <w:qFormat/>
    <w:rsid w:val="000A5BFC"/>
    <w:rPr>
      <w:sz w:val="24"/>
    </w:rPr>
  </w:style>
  <w:style w:type="paragraph" w:customStyle="1" w:styleId="TableHeading">
    <w:name w:val="Table Heading"/>
    <w:basedOn w:val="Tabletext"/>
    <w:qFormat/>
    <w:rsid w:val="00911052"/>
    <w:rPr>
      <w:rFonts w:ascii="Segoe UI Semibold" w:hAnsi="Segoe UI Semibold"/>
      <w:bCs w:val="0"/>
      <w:color w:val="002D72"/>
    </w:rPr>
  </w:style>
  <w:style w:type="character" w:styleId="Hyperlink">
    <w:name w:val="Hyperlink"/>
    <w:basedOn w:val="DefaultParagraphFont"/>
    <w:uiPriority w:val="99"/>
    <w:rsid w:val="008C0BE1"/>
    <w:rPr>
      <w:color w:val="0000FF"/>
      <w:u w:val="single"/>
    </w:rPr>
  </w:style>
  <w:style w:type="paragraph" w:styleId="MessageHeader">
    <w:name w:val="Message Header"/>
    <w:aliases w:val="Boxed text"/>
    <w:basedOn w:val="Normal"/>
    <w:next w:val="Normal"/>
    <w:link w:val="MessageHeaderChar"/>
    <w:uiPriority w:val="99"/>
    <w:unhideWhenUsed/>
    <w:qFormat/>
    <w:rsid w:val="008C0BE1"/>
    <w:pPr>
      <w:pBdr>
        <w:top w:val="single" w:sz="48" w:space="4" w:color="E4E6E8" w:themeColor="text2" w:themeTint="33"/>
        <w:left w:val="single" w:sz="48" w:space="4" w:color="E4E6E8" w:themeColor="text2" w:themeTint="33"/>
        <w:bottom w:val="single" w:sz="48" w:space="5" w:color="E4E6E8" w:themeColor="text2" w:themeTint="33"/>
        <w:right w:val="single" w:sz="48" w:space="4" w:color="E4E6E8" w:themeColor="text2" w:themeTint="33"/>
      </w:pBdr>
      <w:shd w:val="solid" w:color="E4E6E8" w:themeColor="text2" w:themeTint="33" w:fill="auto"/>
      <w:suppressAutoHyphens/>
      <w:autoSpaceDE w:val="0"/>
      <w:autoSpaceDN w:val="0"/>
      <w:adjustRightInd w:val="0"/>
      <w:spacing w:before="240" w:after="240" w:line="240" w:lineRule="auto"/>
      <w:ind w:left="80" w:right="80"/>
      <w:textAlignment w:val="center"/>
    </w:pPr>
    <w:rPr>
      <w:rFonts w:eastAsiaTheme="majorEastAsia" w:cstheme="majorBidi"/>
      <w:color w:val="000000"/>
      <w:szCs w:val="24"/>
      <w:lang w:val="en-US"/>
    </w:rPr>
  </w:style>
  <w:style w:type="character" w:customStyle="1" w:styleId="MessageHeaderChar">
    <w:name w:val="Message Header Char"/>
    <w:aliases w:val="Boxed text Char"/>
    <w:basedOn w:val="DefaultParagraphFont"/>
    <w:link w:val="MessageHeader"/>
    <w:uiPriority w:val="99"/>
    <w:rsid w:val="008C0BE1"/>
    <w:rPr>
      <w:rFonts w:ascii="Arial" w:eastAsiaTheme="majorEastAsia" w:hAnsi="Arial" w:cstheme="majorBidi"/>
      <w:color w:val="000000"/>
      <w:sz w:val="20"/>
      <w:szCs w:val="24"/>
      <w:shd w:val="solid" w:color="E4E6E8" w:themeColor="text2" w:themeTint="33" w:fill="auto"/>
      <w:lang w:val="en-US"/>
    </w:rPr>
  </w:style>
  <w:style w:type="character" w:styleId="FollowedHyperlink">
    <w:name w:val="FollowedHyperlink"/>
    <w:basedOn w:val="DefaultParagraphFont"/>
    <w:uiPriority w:val="99"/>
    <w:semiHidden/>
    <w:unhideWhenUsed/>
    <w:rsid w:val="00AF63C3"/>
    <w:rPr>
      <w:color w:val="7C878E" w:themeColor="followedHyperlink"/>
      <w:u w:val="single"/>
    </w:rPr>
  </w:style>
  <w:style w:type="table" w:styleId="TableGridLight">
    <w:name w:val="Grid Table Light"/>
    <w:basedOn w:val="TableNormal"/>
    <w:uiPriority w:val="40"/>
    <w:rsid w:val="002D44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D44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2D44FC"/>
    <w:pPr>
      <w:spacing w:after="0" w:line="240" w:lineRule="auto"/>
    </w:pPr>
    <w:tblPr>
      <w:tblStyleRowBandSize w:val="1"/>
      <w:tblStyleColBandSize w:val="1"/>
    </w:tblPr>
    <w:tblStylePr w:type="firstRow">
      <w:rPr>
        <w:b/>
        <w:bCs/>
        <w:caps/>
      </w:rPr>
      <w:tblPr/>
      <w:tcPr>
        <w:tcBorders>
          <w:bottom w:val="single" w:sz="4" w:space="0" w:color="3886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886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2D44FC"/>
    <w:pPr>
      <w:spacing w:after="0" w:line="240" w:lineRule="auto"/>
    </w:pPr>
    <w:tblPr>
      <w:tblStyleRowBandSize w:val="1"/>
      <w:tblStyleColBandSize w:val="1"/>
      <w:tblBorders>
        <w:top w:val="single" w:sz="4" w:space="0" w:color="3886FF" w:themeColor="text1" w:themeTint="80"/>
        <w:bottom w:val="single" w:sz="4" w:space="0" w:color="3886FF" w:themeColor="text1" w:themeTint="80"/>
      </w:tblBorders>
    </w:tblPr>
    <w:tblStylePr w:type="firstRow">
      <w:rPr>
        <w:b/>
        <w:bCs/>
      </w:rPr>
      <w:tblPr/>
      <w:tcPr>
        <w:tcBorders>
          <w:bottom w:val="single" w:sz="4" w:space="0" w:color="3886FF" w:themeColor="text1" w:themeTint="80"/>
        </w:tcBorders>
      </w:tcPr>
    </w:tblStylePr>
    <w:tblStylePr w:type="lastRow">
      <w:rPr>
        <w:b/>
        <w:bCs/>
      </w:rPr>
      <w:tblPr/>
      <w:tcPr>
        <w:tcBorders>
          <w:top w:val="single" w:sz="4" w:space="0" w:color="3886FF" w:themeColor="text1" w:themeTint="80"/>
        </w:tcBorders>
      </w:tcPr>
    </w:tblStylePr>
    <w:tblStylePr w:type="firstCol">
      <w:rPr>
        <w:b/>
        <w:bCs/>
      </w:rPr>
    </w:tblStylePr>
    <w:tblStylePr w:type="lastCol">
      <w:rPr>
        <w:b/>
        <w:bCs/>
      </w:rPr>
    </w:tblStylePr>
    <w:tblStylePr w:type="band1Vert">
      <w:tblPr/>
      <w:tcPr>
        <w:tcBorders>
          <w:left w:val="single" w:sz="4" w:space="0" w:color="3886FF" w:themeColor="text1" w:themeTint="80"/>
          <w:right w:val="single" w:sz="4" w:space="0" w:color="3886FF" w:themeColor="text1" w:themeTint="80"/>
        </w:tcBorders>
      </w:tcPr>
    </w:tblStylePr>
    <w:tblStylePr w:type="band2Vert">
      <w:tblPr/>
      <w:tcPr>
        <w:tcBorders>
          <w:left w:val="single" w:sz="4" w:space="0" w:color="3886FF" w:themeColor="text1" w:themeTint="80"/>
          <w:right w:val="single" w:sz="4" w:space="0" w:color="3886FF" w:themeColor="text1" w:themeTint="80"/>
        </w:tcBorders>
      </w:tcPr>
    </w:tblStylePr>
    <w:tblStylePr w:type="band1Horz">
      <w:tblPr/>
      <w:tcPr>
        <w:tcBorders>
          <w:top w:val="single" w:sz="4" w:space="0" w:color="3886FF" w:themeColor="text1" w:themeTint="80"/>
          <w:bottom w:val="single" w:sz="4" w:space="0" w:color="3886FF" w:themeColor="text1" w:themeTint="80"/>
        </w:tcBorders>
      </w:tcPr>
    </w:tblStylePr>
  </w:style>
  <w:style w:type="table" w:styleId="PlainTable4">
    <w:name w:val="Plain Table 4"/>
    <w:basedOn w:val="TableNormal"/>
    <w:uiPriority w:val="44"/>
    <w:rsid w:val="002D44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2D44FC"/>
    <w:pPr>
      <w:spacing w:after="0" w:line="240" w:lineRule="auto"/>
    </w:pPr>
    <w:tblPr>
      <w:tblStyleRowBandSize w:val="1"/>
      <w:tblStyleColBandSize w:val="1"/>
      <w:tblBorders>
        <w:top w:val="single" w:sz="4" w:space="0" w:color="002D72" w:themeColor="text1"/>
        <w:left w:val="single" w:sz="4" w:space="0" w:color="002D72" w:themeColor="text1"/>
        <w:bottom w:val="single" w:sz="4" w:space="0" w:color="002D72" w:themeColor="text1"/>
        <w:right w:val="single" w:sz="4" w:space="0" w:color="002D72" w:themeColor="text1"/>
      </w:tblBorders>
    </w:tblPr>
    <w:tblStylePr w:type="firstRow">
      <w:rPr>
        <w:b/>
        <w:bCs/>
        <w:color w:val="FFFFFF" w:themeColor="background1"/>
      </w:rPr>
      <w:tblPr/>
      <w:tcPr>
        <w:shd w:val="clear" w:color="auto" w:fill="002D72" w:themeFill="text1"/>
      </w:tcPr>
    </w:tblStylePr>
    <w:tblStylePr w:type="lastRow">
      <w:rPr>
        <w:b/>
        <w:bCs/>
      </w:rPr>
      <w:tblPr/>
      <w:tcPr>
        <w:tcBorders>
          <w:top w:val="double" w:sz="4" w:space="0" w:color="002D7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D72" w:themeColor="text1"/>
          <w:right w:val="single" w:sz="4" w:space="0" w:color="002D72" w:themeColor="text1"/>
        </w:tcBorders>
      </w:tcPr>
    </w:tblStylePr>
    <w:tblStylePr w:type="band1Horz">
      <w:tblPr/>
      <w:tcPr>
        <w:tcBorders>
          <w:top w:val="single" w:sz="4" w:space="0" w:color="002D72" w:themeColor="text1"/>
          <w:bottom w:val="single" w:sz="4" w:space="0" w:color="002D7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D72" w:themeColor="text1"/>
          <w:left w:val="nil"/>
        </w:tcBorders>
      </w:tcPr>
    </w:tblStylePr>
    <w:tblStylePr w:type="swCell">
      <w:tblPr/>
      <w:tcPr>
        <w:tcBorders>
          <w:top w:val="double" w:sz="4" w:space="0" w:color="002D72" w:themeColor="text1"/>
          <w:right w:val="nil"/>
        </w:tcBorders>
      </w:tcPr>
    </w:tblStylePr>
  </w:style>
  <w:style w:type="character" w:customStyle="1" w:styleId="Heading7Char">
    <w:name w:val="Heading 7 Char"/>
    <w:basedOn w:val="DefaultParagraphFont"/>
    <w:link w:val="Heading7"/>
    <w:uiPriority w:val="9"/>
    <w:rsid w:val="00062565"/>
    <w:rPr>
      <w:rFonts w:asciiTheme="majorHAnsi" w:eastAsiaTheme="majorEastAsia" w:hAnsiTheme="majorHAnsi" w:cstheme="majorBidi"/>
      <w:iCs/>
      <w:color w:val="002D72" w:themeColor="text1"/>
      <w:sz w:val="20"/>
    </w:rPr>
  </w:style>
  <w:style w:type="character" w:customStyle="1" w:styleId="Heading8Char">
    <w:name w:val="Heading 8 Char"/>
    <w:basedOn w:val="DefaultParagraphFont"/>
    <w:link w:val="Heading8"/>
    <w:uiPriority w:val="9"/>
    <w:rsid w:val="00062565"/>
    <w:rPr>
      <w:rFonts w:asciiTheme="majorHAnsi" w:eastAsiaTheme="majorEastAsia" w:hAnsiTheme="majorHAnsi" w:cstheme="majorBidi"/>
      <w:i/>
      <w:color w:val="002D72" w:themeColor="text1"/>
      <w:sz w:val="21"/>
      <w:szCs w:val="21"/>
    </w:rPr>
  </w:style>
  <w:style w:type="character" w:styleId="IntenseEmphasis">
    <w:name w:val="Intense Emphasis"/>
    <w:basedOn w:val="DefaultParagraphFont"/>
    <w:uiPriority w:val="21"/>
    <w:qFormat/>
    <w:rsid w:val="00C50ED8"/>
    <w:rPr>
      <w:i/>
      <w:iCs/>
      <w:color w:val="002D7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DoITCRD%20Simple%20Template%202019.dotx" TargetMode="External"/></Relationships>
</file>

<file path=word/theme/theme1.xml><?xml version="1.0" encoding="utf-8"?>
<a:theme xmlns:a="http://schemas.openxmlformats.org/drawingml/2006/main" name="DoITCRD">
  <a:themeElements>
    <a:clrScheme name="Custom 1">
      <a:dk1>
        <a:srgbClr val="002D72"/>
      </a:dk1>
      <a:lt1>
        <a:sysClr val="window" lastClr="FFFFFF"/>
      </a:lt1>
      <a:dk2>
        <a:srgbClr val="7C878E"/>
      </a:dk2>
      <a:lt2>
        <a:srgbClr val="DEE9F1"/>
      </a:lt2>
      <a:accent1>
        <a:srgbClr val="002D72"/>
      </a:accent1>
      <a:accent2>
        <a:srgbClr val="009CBD"/>
      </a:accent2>
      <a:accent3>
        <a:srgbClr val="84BD00"/>
      </a:accent3>
      <a:accent4>
        <a:srgbClr val="485CC7"/>
      </a:accent4>
      <a:accent5>
        <a:srgbClr val="FA4616"/>
      </a:accent5>
      <a:accent6>
        <a:srgbClr val="FFA300"/>
      </a:accent6>
      <a:hlink>
        <a:srgbClr val="002D72"/>
      </a:hlink>
      <a:folHlink>
        <a:srgbClr val="7C878E"/>
      </a:folHlink>
    </a:clrScheme>
    <a:fontScheme name="DoITCRD 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ITCRD" id="{5A257436-6D80-4E63-B74C-390E67994A5E}" vid="{8063BDD6-2E75-4593-999F-27F6CC842E0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333550CEAD564BA83A9771AC15C1A0" ma:contentTypeVersion="2" ma:contentTypeDescription="Create a new document." ma:contentTypeScope="" ma:versionID="c1a11b02a1a4a724008c0ac2f3fe7e2d">
  <xsd:schema xmlns:xsd="http://www.w3.org/2001/XMLSchema" xmlns:xs="http://www.w3.org/2001/XMLSchema" xmlns:p="http://schemas.microsoft.com/office/2006/metadata/properties" xmlns:ns2="e6fb739e-58cc-401a-925a-5d67fcbbeea1" targetNamespace="http://schemas.microsoft.com/office/2006/metadata/properties" ma:root="true" ma:fieldsID="78288582b7776890c8e073739f770544" ns2:_="">
    <xsd:import namespace="e6fb739e-58cc-401a-925a-5d67fcbbeea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b739e-58cc-401a-925a-5d67fcbbe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E6E47B-93CF-4FF5-AAD6-E95CB84FCD46}">
  <ds:schemaRefs>
    <ds:schemaRef ds:uri="http://schemas.openxmlformats.org/officeDocument/2006/bibliography"/>
  </ds:schemaRefs>
</ds:datastoreItem>
</file>

<file path=customXml/itemProps2.xml><?xml version="1.0" encoding="utf-8"?>
<ds:datastoreItem xmlns:ds="http://schemas.openxmlformats.org/officeDocument/2006/customXml" ds:itemID="{BB16673B-622F-4FD6-A80E-14EE9D546795}"/>
</file>

<file path=customXml/itemProps3.xml><?xml version="1.0" encoding="utf-8"?>
<ds:datastoreItem xmlns:ds="http://schemas.openxmlformats.org/officeDocument/2006/customXml" ds:itemID="{255859F4-813F-43E8-BC0F-B0CB35835C8D}"/>
</file>

<file path=customXml/itemProps4.xml><?xml version="1.0" encoding="utf-8"?>
<ds:datastoreItem xmlns:ds="http://schemas.openxmlformats.org/officeDocument/2006/customXml" ds:itemID="{DD2BACC2-57AE-4581-AC85-5E1EBDC277DC}"/>
</file>

<file path=docProps/app.xml><?xml version="1.0" encoding="utf-8"?>
<Properties xmlns="http://schemas.openxmlformats.org/officeDocument/2006/extended-properties" xmlns:vt="http://schemas.openxmlformats.org/officeDocument/2006/docPropsVTypes">
  <Template>DoITCRD Simple Template 2019.dotx</Template>
  <TotalTime>462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Newsletter</vt:lpstr>
    </vt:vector>
  </TitlesOfParts>
  <Company>Department of Infrastructure and Regional Development</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creator>RASMUSSEN Linda</dc:creator>
  <cp:lastModifiedBy>RASMUSSEN Linda</cp:lastModifiedBy>
  <cp:revision>8</cp:revision>
  <cp:lastPrinted>2019-12-04T22:18:00Z</cp:lastPrinted>
  <dcterms:created xsi:type="dcterms:W3CDTF">2019-12-03T05:21:00Z</dcterms:created>
  <dcterms:modified xsi:type="dcterms:W3CDTF">2019-12-12T02:35:00Z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0x010100CD333550CEAD564BA83A9771AC15C1A0</vt:lpwstr>
  </property>
</Properties>
</file>