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2F0" w:rsidRPr="00A7326C" w:rsidRDefault="00C718ED" w:rsidP="00A7326C">
      <w:pPr>
        <w:ind w:left="-426" w:right="-1099"/>
        <w:rPr>
          <w:rFonts w:ascii="National 2" w:hAnsi="National 2"/>
        </w:rPr>
      </w:pPr>
      <w:bookmarkStart w:id="0" w:name="_GoBack"/>
      <w:bookmarkEnd w:id="0"/>
      <w:r w:rsidRPr="00A7326C">
        <w:rPr>
          <w:rFonts w:ascii="National 2" w:hAnsi="National 2"/>
          <w:noProof/>
          <w:lang w:eastAsia="en-AU"/>
        </w:rPr>
        <w:drawing>
          <wp:anchor distT="0" distB="0" distL="114300" distR="114300" simplePos="0" relativeHeight="251659264" behindDoc="1" locked="0" layoutInCell="1" allowOverlap="1" wp14:anchorId="7EDC13F6" wp14:editId="7EDC13F7">
            <wp:simplePos x="0" y="0"/>
            <wp:positionH relativeFrom="column">
              <wp:posOffset>-1143000</wp:posOffset>
            </wp:positionH>
            <wp:positionV relativeFrom="paragraph">
              <wp:posOffset>-457200</wp:posOffset>
            </wp:positionV>
            <wp:extent cx="5147945" cy="5147945"/>
            <wp:effectExtent l="0" t="0" r="8255" b="8255"/>
            <wp:wrapNone/>
            <wp:docPr id="4" name="Picture 4" descr="Macintosh HD:Users:stevepa:Pictures:RAA Logos 2012:Hatch Device:DiagonalHatch_Si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stevepa:Pictures:RAA Logos 2012:Hatch Device:DiagonalHatch_Singl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7945" cy="51479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23280" w:rsidRPr="00A7326C" w:rsidRDefault="00023280" w:rsidP="00A7326C">
      <w:pPr>
        <w:ind w:left="-426"/>
        <w:rPr>
          <w:rFonts w:ascii="National 2" w:hAnsi="National 2"/>
        </w:rPr>
      </w:pPr>
    </w:p>
    <w:p w:rsidR="00023280" w:rsidRPr="00A7326C" w:rsidRDefault="00023280" w:rsidP="00A7326C">
      <w:pPr>
        <w:ind w:left="-426"/>
        <w:rPr>
          <w:rFonts w:ascii="National 2" w:hAnsi="National 2"/>
        </w:rPr>
      </w:pPr>
    </w:p>
    <w:p w:rsidR="00023280" w:rsidRPr="00A7326C" w:rsidRDefault="00023280" w:rsidP="00A7326C">
      <w:pPr>
        <w:rPr>
          <w:rFonts w:ascii="National 2" w:hAnsi="National 2"/>
        </w:rPr>
      </w:pPr>
    </w:p>
    <w:p w:rsidR="00DE0C45" w:rsidRPr="00A7326C" w:rsidRDefault="00DE0C45" w:rsidP="00A7326C">
      <w:pPr>
        <w:rPr>
          <w:rFonts w:ascii="National 2" w:hAnsi="National 2"/>
          <w:b/>
          <w:sz w:val="56"/>
        </w:rPr>
      </w:pPr>
    </w:p>
    <w:p w:rsidR="00DE0C45" w:rsidRPr="00A7326C" w:rsidRDefault="00DE0C45" w:rsidP="00A7326C">
      <w:pPr>
        <w:rPr>
          <w:rFonts w:ascii="National 2" w:hAnsi="National 2"/>
          <w:b/>
          <w:sz w:val="56"/>
        </w:rPr>
      </w:pPr>
    </w:p>
    <w:p w:rsidR="00DE0C45" w:rsidRPr="00A7326C" w:rsidRDefault="00DE0C45" w:rsidP="00A7326C">
      <w:pPr>
        <w:rPr>
          <w:rFonts w:ascii="National 2" w:hAnsi="National 2"/>
          <w:b/>
          <w:sz w:val="56"/>
        </w:rPr>
      </w:pPr>
    </w:p>
    <w:p w:rsidR="00835ABF" w:rsidRDefault="00835ABF" w:rsidP="00835ABF">
      <w:pPr>
        <w:spacing w:after="0"/>
        <w:jc w:val="center"/>
        <w:rPr>
          <w:rFonts w:ascii="National 2" w:hAnsi="National 2"/>
          <w:b/>
          <w:sz w:val="56"/>
        </w:rPr>
      </w:pPr>
      <w:r>
        <w:rPr>
          <w:rFonts w:ascii="National 2" w:hAnsi="National 2"/>
          <w:b/>
          <w:sz w:val="56"/>
        </w:rPr>
        <w:t xml:space="preserve">BARRIERS TO THE </w:t>
      </w:r>
    </w:p>
    <w:p w:rsidR="00835ABF" w:rsidRDefault="00835ABF" w:rsidP="00835ABF">
      <w:pPr>
        <w:spacing w:after="0"/>
        <w:jc w:val="center"/>
        <w:rPr>
          <w:rFonts w:ascii="National 2" w:hAnsi="National 2"/>
          <w:b/>
          <w:sz w:val="56"/>
        </w:rPr>
      </w:pPr>
      <w:r>
        <w:rPr>
          <w:rFonts w:ascii="National 2" w:hAnsi="National 2"/>
          <w:b/>
          <w:sz w:val="56"/>
        </w:rPr>
        <w:t xml:space="preserve">SAFE OPERATION OF </w:t>
      </w:r>
    </w:p>
    <w:p w:rsidR="00A31CED" w:rsidRPr="00A7326C" w:rsidRDefault="00835ABF" w:rsidP="00835ABF">
      <w:pPr>
        <w:spacing w:after="0"/>
        <w:jc w:val="center"/>
        <w:rPr>
          <w:rFonts w:ascii="National 2" w:hAnsi="National 2"/>
          <w:b/>
          <w:sz w:val="56"/>
        </w:rPr>
      </w:pPr>
      <w:r>
        <w:rPr>
          <w:rFonts w:ascii="National 2" w:hAnsi="National 2"/>
          <w:b/>
          <w:sz w:val="56"/>
        </w:rPr>
        <w:t xml:space="preserve">MOTORISED MOBILITY DEVICES </w:t>
      </w:r>
    </w:p>
    <w:p w:rsidR="00835ABF" w:rsidRDefault="00835ABF" w:rsidP="00A7326C">
      <w:pPr>
        <w:spacing w:after="0"/>
        <w:jc w:val="center"/>
        <w:rPr>
          <w:rFonts w:ascii="National 2" w:hAnsi="National 2"/>
          <w:sz w:val="32"/>
          <w:szCs w:val="40"/>
        </w:rPr>
      </w:pPr>
    </w:p>
    <w:p w:rsidR="00835ABF" w:rsidRDefault="00835ABF" w:rsidP="00A7326C">
      <w:pPr>
        <w:spacing w:after="0"/>
        <w:jc w:val="center"/>
        <w:rPr>
          <w:rFonts w:ascii="National 2" w:hAnsi="National 2"/>
          <w:sz w:val="32"/>
          <w:szCs w:val="40"/>
        </w:rPr>
      </w:pPr>
      <w:r w:rsidRPr="00835ABF">
        <w:rPr>
          <w:rFonts w:ascii="National 2" w:hAnsi="National 2"/>
          <w:sz w:val="32"/>
          <w:szCs w:val="40"/>
        </w:rPr>
        <w:t xml:space="preserve">NATIONAL TRANSPORT COMMISSION </w:t>
      </w:r>
    </w:p>
    <w:p w:rsidR="00023280" w:rsidRPr="00835ABF" w:rsidRDefault="00835ABF" w:rsidP="00A7326C">
      <w:pPr>
        <w:spacing w:after="0"/>
        <w:jc w:val="center"/>
        <w:rPr>
          <w:rFonts w:ascii="National 2" w:hAnsi="National 2"/>
          <w:sz w:val="32"/>
          <w:szCs w:val="40"/>
        </w:rPr>
      </w:pPr>
      <w:r w:rsidRPr="00835ABF">
        <w:rPr>
          <w:rFonts w:ascii="National 2" w:hAnsi="National 2"/>
          <w:sz w:val="32"/>
          <w:szCs w:val="40"/>
        </w:rPr>
        <w:t>DISCUSSION PAPER</w:t>
      </w:r>
    </w:p>
    <w:p w:rsidR="00835ABF" w:rsidRDefault="00835ABF" w:rsidP="00A7326C">
      <w:pPr>
        <w:spacing w:after="0"/>
        <w:jc w:val="center"/>
        <w:rPr>
          <w:rFonts w:ascii="National 2" w:hAnsi="National 2"/>
          <w:sz w:val="40"/>
          <w:szCs w:val="40"/>
        </w:rPr>
      </w:pPr>
    </w:p>
    <w:p w:rsidR="00835ABF" w:rsidRPr="00835ABF" w:rsidRDefault="00835ABF" w:rsidP="00A7326C">
      <w:pPr>
        <w:spacing w:after="0"/>
        <w:jc w:val="center"/>
        <w:rPr>
          <w:rFonts w:ascii="National 2" w:hAnsi="National 2"/>
          <w:sz w:val="44"/>
          <w:szCs w:val="40"/>
        </w:rPr>
      </w:pPr>
      <w:r w:rsidRPr="00835ABF">
        <w:rPr>
          <w:rFonts w:ascii="National 2" w:hAnsi="National 2"/>
          <w:sz w:val="44"/>
          <w:szCs w:val="40"/>
        </w:rPr>
        <w:t>RAA SUBMISSION</w:t>
      </w:r>
    </w:p>
    <w:p w:rsidR="00023280" w:rsidRPr="00A7326C" w:rsidRDefault="00023280" w:rsidP="00A7326C">
      <w:pPr>
        <w:rPr>
          <w:rFonts w:ascii="National 2" w:hAnsi="National 2"/>
          <w:sz w:val="28"/>
        </w:rPr>
      </w:pPr>
    </w:p>
    <w:p w:rsidR="00023280" w:rsidRPr="00A7326C" w:rsidRDefault="00023280" w:rsidP="00A7326C">
      <w:pPr>
        <w:rPr>
          <w:rFonts w:ascii="National 2" w:hAnsi="National 2"/>
          <w:sz w:val="28"/>
        </w:rPr>
      </w:pPr>
    </w:p>
    <w:p w:rsidR="00023280" w:rsidRPr="00A7326C" w:rsidRDefault="00023280" w:rsidP="00A7326C">
      <w:pPr>
        <w:rPr>
          <w:rFonts w:ascii="National 2" w:hAnsi="National 2"/>
          <w:sz w:val="28"/>
        </w:rPr>
      </w:pPr>
    </w:p>
    <w:p w:rsidR="00023280" w:rsidRPr="00A7326C" w:rsidRDefault="00023280" w:rsidP="00A7326C">
      <w:pPr>
        <w:ind w:right="-816"/>
        <w:rPr>
          <w:rFonts w:ascii="National 2" w:hAnsi="National 2"/>
          <w:sz w:val="28"/>
        </w:rPr>
      </w:pPr>
    </w:p>
    <w:p w:rsidR="00023280" w:rsidRPr="00A7326C" w:rsidRDefault="00023280" w:rsidP="00A7326C">
      <w:pPr>
        <w:rPr>
          <w:rFonts w:ascii="National 2" w:hAnsi="National 2"/>
          <w:sz w:val="28"/>
        </w:rPr>
      </w:pPr>
    </w:p>
    <w:p w:rsidR="00023280" w:rsidRPr="00A7326C" w:rsidRDefault="00023280" w:rsidP="00A7326C">
      <w:pPr>
        <w:rPr>
          <w:rFonts w:ascii="National 2" w:hAnsi="National 2"/>
          <w:sz w:val="28"/>
        </w:rPr>
      </w:pPr>
    </w:p>
    <w:p w:rsidR="00023280" w:rsidRPr="00A7326C" w:rsidRDefault="00023280" w:rsidP="00A7326C">
      <w:pPr>
        <w:rPr>
          <w:rFonts w:ascii="National 2" w:hAnsi="National 2"/>
          <w:sz w:val="28"/>
        </w:rPr>
      </w:pPr>
    </w:p>
    <w:p w:rsidR="00023280" w:rsidRPr="00A7326C" w:rsidRDefault="00023280" w:rsidP="00A7326C">
      <w:pPr>
        <w:rPr>
          <w:rFonts w:ascii="National 2" w:hAnsi="National 2"/>
          <w:sz w:val="28"/>
        </w:rPr>
      </w:pPr>
    </w:p>
    <w:p w:rsidR="00023280" w:rsidRPr="00A7326C" w:rsidRDefault="00023280" w:rsidP="00A7326C">
      <w:pPr>
        <w:rPr>
          <w:rFonts w:ascii="National 2" w:hAnsi="National 2"/>
          <w:sz w:val="28"/>
        </w:rPr>
      </w:pPr>
    </w:p>
    <w:p w:rsidR="006426F4" w:rsidRPr="00A7326C" w:rsidRDefault="00835ABF" w:rsidP="00A7326C">
      <w:pPr>
        <w:rPr>
          <w:rFonts w:ascii="National 2" w:hAnsi="National 2"/>
          <w:sz w:val="28"/>
        </w:rPr>
      </w:pPr>
      <w:r>
        <w:rPr>
          <w:rFonts w:ascii="National 2" w:hAnsi="National 2"/>
          <w:sz w:val="28"/>
        </w:rPr>
        <w:t xml:space="preserve">December </w:t>
      </w:r>
      <w:r w:rsidR="000E0EA3" w:rsidRPr="00A7326C">
        <w:rPr>
          <w:rFonts w:ascii="National 2" w:hAnsi="National 2"/>
          <w:sz w:val="28"/>
        </w:rPr>
        <w:t>2019</w:t>
      </w:r>
    </w:p>
    <w:p w:rsidR="007A5BBF" w:rsidRPr="00A7326C" w:rsidRDefault="00A6715D" w:rsidP="00A7326C">
      <w:pPr>
        <w:rPr>
          <w:rFonts w:ascii="National 2" w:hAnsi="National 2"/>
          <w:sz w:val="28"/>
        </w:rPr>
      </w:pPr>
      <w:r w:rsidRPr="00A7326C">
        <w:rPr>
          <w:rFonts w:ascii="National 2" w:hAnsi="National 2"/>
          <w:noProof/>
          <w:sz w:val="28"/>
          <w:lang w:eastAsia="en-AU"/>
        </w:rPr>
        <w:drawing>
          <wp:anchor distT="0" distB="0" distL="114300" distR="114300" simplePos="0" relativeHeight="251660288" behindDoc="0" locked="0" layoutInCell="1" allowOverlap="1">
            <wp:simplePos x="0" y="0"/>
            <wp:positionH relativeFrom="column">
              <wp:posOffset>3924300</wp:posOffset>
            </wp:positionH>
            <wp:positionV relativeFrom="paragraph">
              <wp:posOffset>120015</wp:posOffset>
            </wp:positionV>
            <wp:extent cx="2070001" cy="828000"/>
            <wp:effectExtent l="0" t="0" r="698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AA Master Logo - White Background.png"/>
                    <pic:cNvPicPr/>
                  </pic:nvPicPr>
                  <pic:blipFill>
                    <a:blip r:embed="rId12">
                      <a:extLst>
                        <a:ext uri="{28A0092B-C50C-407E-A947-70E740481C1C}">
                          <a14:useLocalDpi xmlns:a14="http://schemas.microsoft.com/office/drawing/2010/main" val="0"/>
                        </a:ext>
                      </a:extLst>
                    </a:blip>
                    <a:stretch>
                      <a:fillRect/>
                    </a:stretch>
                  </pic:blipFill>
                  <pic:spPr>
                    <a:xfrm>
                      <a:off x="0" y="0"/>
                      <a:ext cx="2070001" cy="828000"/>
                    </a:xfrm>
                    <a:prstGeom prst="rect">
                      <a:avLst/>
                    </a:prstGeom>
                  </pic:spPr>
                </pic:pic>
              </a:graphicData>
            </a:graphic>
            <wp14:sizeRelH relativeFrom="margin">
              <wp14:pctWidth>0</wp14:pctWidth>
            </wp14:sizeRelH>
            <wp14:sizeRelV relativeFrom="margin">
              <wp14:pctHeight>0</wp14:pctHeight>
            </wp14:sizeRelV>
          </wp:anchor>
        </w:drawing>
      </w:r>
    </w:p>
    <w:p w:rsidR="007A5BBF" w:rsidRPr="00A7326C" w:rsidRDefault="007A5BBF" w:rsidP="00A7326C">
      <w:pPr>
        <w:rPr>
          <w:rFonts w:ascii="National 2" w:hAnsi="National 2"/>
          <w:sz w:val="28"/>
        </w:rPr>
        <w:sectPr w:rsidR="007A5BBF" w:rsidRPr="00A7326C" w:rsidSect="00CE01B4">
          <w:footerReference w:type="default" r:id="rId13"/>
          <w:pgSz w:w="11900" w:h="16840"/>
          <w:pgMar w:top="709" w:right="1552" w:bottom="1134" w:left="1560" w:header="708" w:footer="708" w:gutter="0"/>
          <w:cols w:space="708"/>
          <w:titlePg/>
          <w:docGrid w:linePitch="326"/>
        </w:sectPr>
      </w:pPr>
    </w:p>
    <w:p w:rsidR="006426F4" w:rsidRPr="00A7326C" w:rsidRDefault="00A7326C" w:rsidP="0027212A">
      <w:pPr>
        <w:pBdr>
          <w:bottom w:val="single" w:sz="4" w:space="1" w:color="auto"/>
        </w:pBdr>
        <w:autoSpaceDE w:val="0"/>
        <w:autoSpaceDN w:val="0"/>
        <w:adjustRightInd w:val="0"/>
        <w:spacing w:after="0"/>
        <w:rPr>
          <w:rFonts w:ascii="National 2" w:eastAsia="Calibri" w:hAnsi="National 2" w:cs="Arial"/>
          <w:b/>
          <w:sz w:val="22"/>
          <w:szCs w:val="22"/>
        </w:rPr>
      </w:pPr>
      <w:r>
        <w:rPr>
          <w:rFonts w:ascii="National 2" w:eastAsia="Calibri" w:hAnsi="National 2" w:cs="Arial"/>
          <w:b/>
          <w:sz w:val="22"/>
          <w:szCs w:val="22"/>
        </w:rPr>
        <w:lastRenderedPageBreak/>
        <w:t>INTRODUCTION</w:t>
      </w:r>
    </w:p>
    <w:p w:rsidR="0027212A" w:rsidRDefault="0027212A" w:rsidP="00A7326C">
      <w:pPr>
        <w:pStyle w:val="Default"/>
        <w:rPr>
          <w:rFonts w:ascii="National 2" w:eastAsia="Calibri" w:hAnsi="National 2" w:cs="Arial"/>
          <w:color w:val="auto"/>
          <w:sz w:val="22"/>
          <w:szCs w:val="22"/>
        </w:rPr>
      </w:pPr>
    </w:p>
    <w:p w:rsidR="003E5DAB" w:rsidRPr="00A7326C" w:rsidRDefault="00F13FFF" w:rsidP="00A7326C">
      <w:pPr>
        <w:pStyle w:val="Default"/>
        <w:rPr>
          <w:rFonts w:ascii="National 2" w:eastAsia="Calibri" w:hAnsi="National 2" w:cs="Arial"/>
          <w:color w:val="auto"/>
          <w:sz w:val="22"/>
          <w:szCs w:val="22"/>
        </w:rPr>
      </w:pPr>
      <w:r w:rsidRPr="00A7326C">
        <w:rPr>
          <w:rFonts w:ascii="National 2" w:eastAsia="Calibri" w:hAnsi="National 2" w:cs="Arial"/>
          <w:color w:val="auto"/>
          <w:sz w:val="22"/>
          <w:szCs w:val="22"/>
        </w:rPr>
        <w:t>RAA welcomes the opportunity to provide comment on</w:t>
      </w:r>
      <w:r w:rsidR="00835ABF">
        <w:rPr>
          <w:rFonts w:ascii="National 2" w:eastAsia="Calibri" w:hAnsi="National 2" w:cs="Arial"/>
          <w:color w:val="auto"/>
          <w:sz w:val="22"/>
          <w:szCs w:val="22"/>
        </w:rPr>
        <w:t xml:space="preserve"> the National Transport Commission’s (NTC) discussion paper focussed on mobility devices. </w:t>
      </w:r>
    </w:p>
    <w:p w:rsidR="003E5DAB" w:rsidRPr="00A7326C" w:rsidRDefault="003E5DAB" w:rsidP="00A7326C">
      <w:pPr>
        <w:pStyle w:val="Default"/>
        <w:rPr>
          <w:rFonts w:ascii="National 2" w:eastAsia="Calibri" w:hAnsi="National 2" w:cs="Arial"/>
          <w:color w:val="auto"/>
          <w:sz w:val="22"/>
          <w:szCs w:val="22"/>
        </w:rPr>
      </w:pPr>
    </w:p>
    <w:p w:rsidR="00746C79" w:rsidRPr="00A7326C" w:rsidRDefault="00F13FFF" w:rsidP="00A7326C">
      <w:pPr>
        <w:pStyle w:val="Default"/>
        <w:rPr>
          <w:rFonts w:ascii="National 2" w:eastAsia="Calibri" w:hAnsi="National 2" w:cs="Arial"/>
          <w:color w:val="auto"/>
          <w:sz w:val="22"/>
          <w:szCs w:val="22"/>
        </w:rPr>
      </w:pPr>
      <w:r w:rsidRPr="00A7326C">
        <w:rPr>
          <w:rFonts w:ascii="National 2" w:eastAsia="Calibri" w:hAnsi="National 2" w:cs="Arial"/>
          <w:color w:val="auto"/>
          <w:sz w:val="22"/>
          <w:szCs w:val="22"/>
        </w:rPr>
        <w:t>RAA is South Australia’s largest member</w:t>
      </w:r>
      <w:r w:rsidR="00636F30" w:rsidRPr="00A7326C">
        <w:rPr>
          <w:rFonts w:ascii="National 2" w:eastAsia="Calibri" w:hAnsi="National 2" w:cs="Arial"/>
          <w:color w:val="auto"/>
          <w:sz w:val="22"/>
          <w:szCs w:val="22"/>
        </w:rPr>
        <w:t>ship</w:t>
      </w:r>
      <w:r w:rsidRPr="00A7326C">
        <w:rPr>
          <w:rFonts w:ascii="National 2" w:eastAsia="Calibri" w:hAnsi="National 2" w:cs="Arial"/>
          <w:color w:val="auto"/>
          <w:sz w:val="22"/>
          <w:szCs w:val="22"/>
        </w:rPr>
        <w:t xml:space="preserve"> organisation</w:t>
      </w:r>
      <w:r w:rsidR="00DC5EE1" w:rsidRPr="00A7326C">
        <w:rPr>
          <w:rFonts w:ascii="National 2" w:eastAsia="Calibri" w:hAnsi="National 2" w:cs="Arial"/>
          <w:color w:val="auto"/>
          <w:sz w:val="22"/>
          <w:szCs w:val="22"/>
        </w:rPr>
        <w:t>,</w:t>
      </w:r>
      <w:r w:rsidRPr="00A7326C">
        <w:rPr>
          <w:rFonts w:ascii="National 2" w:eastAsia="Calibri" w:hAnsi="National 2" w:cs="Arial"/>
          <w:color w:val="auto"/>
          <w:sz w:val="22"/>
          <w:szCs w:val="22"/>
        </w:rPr>
        <w:t xml:space="preserve"> representing the interest</w:t>
      </w:r>
      <w:r w:rsidR="00BC208E" w:rsidRPr="00A7326C">
        <w:rPr>
          <w:rFonts w:ascii="National 2" w:eastAsia="Calibri" w:hAnsi="National 2" w:cs="Arial"/>
          <w:color w:val="auto"/>
          <w:sz w:val="22"/>
          <w:szCs w:val="22"/>
        </w:rPr>
        <w:t>s</w:t>
      </w:r>
      <w:r w:rsidRPr="00A7326C">
        <w:rPr>
          <w:rFonts w:ascii="National 2" w:eastAsia="Calibri" w:hAnsi="National 2" w:cs="Arial"/>
          <w:color w:val="auto"/>
          <w:sz w:val="22"/>
          <w:szCs w:val="22"/>
        </w:rPr>
        <w:t xml:space="preserve"> of more than 750,000 South Australians</w:t>
      </w:r>
      <w:r w:rsidR="00C91512" w:rsidRPr="00A7326C">
        <w:rPr>
          <w:rFonts w:ascii="National 2" w:eastAsia="Calibri" w:hAnsi="National 2" w:cs="Arial"/>
          <w:color w:val="auto"/>
          <w:sz w:val="22"/>
          <w:szCs w:val="22"/>
        </w:rPr>
        <w:t>.</w:t>
      </w:r>
      <w:r w:rsidR="003E5DAB" w:rsidRPr="00A7326C">
        <w:rPr>
          <w:rFonts w:ascii="National 2" w:eastAsia="Calibri" w:hAnsi="National 2" w:cs="Arial"/>
          <w:color w:val="auto"/>
          <w:sz w:val="22"/>
          <w:szCs w:val="22"/>
        </w:rPr>
        <w:t xml:space="preserve"> </w:t>
      </w:r>
      <w:r w:rsidRPr="00A7326C">
        <w:rPr>
          <w:rFonts w:ascii="National 2" w:eastAsia="Calibri" w:hAnsi="National 2" w:cs="Arial"/>
          <w:color w:val="auto"/>
          <w:sz w:val="22"/>
          <w:szCs w:val="22"/>
        </w:rPr>
        <w:t xml:space="preserve">Through our diverse range of motor, home and travel products and services, we interact with our members in a range of ways that provide unique insight into the services and public policy settings South Australians want and need. </w:t>
      </w:r>
    </w:p>
    <w:p w:rsidR="00746C79" w:rsidRPr="00A7326C" w:rsidRDefault="00746C79" w:rsidP="00A7326C">
      <w:pPr>
        <w:pStyle w:val="Default"/>
        <w:rPr>
          <w:rFonts w:ascii="National 2" w:eastAsia="Calibri" w:hAnsi="National 2" w:cs="Arial"/>
          <w:color w:val="auto"/>
          <w:sz w:val="22"/>
          <w:szCs w:val="22"/>
        </w:rPr>
      </w:pPr>
    </w:p>
    <w:p w:rsidR="00835ABF" w:rsidRPr="00835ABF" w:rsidRDefault="00746C79" w:rsidP="00835ABF">
      <w:pPr>
        <w:pStyle w:val="Default"/>
        <w:rPr>
          <w:rFonts w:ascii="National 2" w:eastAsia="Calibri" w:hAnsi="National 2" w:cs="Arial"/>
          <w:sz w:val="22"/>
          <w:szCs w:val="22"/>
        </w:rPr>
      </w:pPr>
      <w:r w:rsidRPr="00A7326C">
        <w:rPr>
          <w:rFonts w:ascii="National 2" w:eastAsia="Calibri" w:hAnsi="National 2" w:cs="Arial"/>
          <w:sz w:val="22"/>
          <w:szCs w:val="22"/>
        </w:rPr>
        <w:t xml:space="preserve">RAA has had a trusted advocacy role in </w:t>
      </w:r>
      <w:r w:rsidR="00C07010" w:rsidRPr="00A7326C">
        <w:rPr>
          <w:rFonts w:ascii="National 2" w:eastAsia="Calibri" w:hAnsi="National 2" w:cs="Arial"/>
          <w:sz w:val="22"/>
          <w:szCs w:val="22"/>
        </w:rPr>
        <w:t>transport</w:t>
      </w:r>
      <w:r w:rsidR="00BC208E" w:rsidRPr="00A7326C">
        <w:rPr>
          <w:rFonts w:ascii="National 2" w:eastAsia="Calibri" w:hAnsi="National 2" w:cs="Arial"/>
          <w:sz w:val="22"/>
          <w:szCs w:val="22"/>
        </w:rPr>
        <w:t xml:space="preserve"> and mobility</w:t>
      </w:r>
      <w:r w:rsidR="00C07010" w:rsidRPr="00A7326C">
        <w:rPr>
          <w:rFonts w:ascii="National 2" w:eastAsia="Calibri" w:hAnsi="National 2" w:cs="Arial"/>
          <w:sz w:val="22"/>
          <w:szCs w:val="22"/>
        </w:rPr>
        <w:t xml:space="preserve"> for more than 115 years</w:t>
      </w:r>
      <w:r w:rsidRPr="00A7326C">
        <w:rPr>
          <w:rFonts w:ascii="National 2" w:eastAsia="Calibri" w:hAnsi="National 2" w:cs="Arial"/>
          <w:sz w:val="22"/>
          <w:szCs w:val="22"/>
        </w:rPr>
        <w:t xml:space="preserve">. </w:t>
      </w:r>
      <w:r w:rsidR="00BC208E" w:rsidRPr="00A7326C">
        <w:rPr>
          <w:rFonts w:ascii="National 2" w:eastAsia="Calibri" w:hAnsi="National 2" w:cs="Arial"/>
          <w:sz w:val="22"/>
          <w:szCs w:val="22"/>
        </w:rPr>
        <w:t xml:space="preserve"> </w:t>
      </w:r>
      <w:r w:rsidR="00835ABF">
        <w:rPr>
          <w:rFonts w:ascii="National 2" w:eastAsia="Calibri" w:hAnsi="National 2" w:cs="Arial"/>
          <w:sz w:val="22"/>
          <w:szCs w:val="22"/>
        </w:rPr>
        <w:t xml:space="preserve">We </w:t>
      </w:r>
      <w:r w:rsidR="00835ABF" w:rsidRPr="00835ABF">
        <w:rPr>
          <w:rFonts w:ascii="National 2" w:eastAsia="Calibri" w:hAnsi="National 2" w:cs="Arial"/>
          <w:sz w:val="22"/>
          <w:szCs w:val="22"/>
        </w:rPr>
        <w:t xml:space="preserve">undertake a range of activities to identify, report on and advocate for safer, more effective mobility for all road users and pedestrians. RAA aligns its </w:t>
      </w:r>
      <w:r w:rsidR="0053194A">
        <w:rPr>
          <w:rFonts w:ascii="National 2" w:eastAsia="Calibri" w:hAnsi="National 2" w:cs="Arial"/>
          <w:sz w:val="22"/>
          <w:szCs w:val="22"/>
        </w:rPr>
        <w:t xml:space="preserve">transport advocacy </w:t>
      </w:r>
      <w:r w:rsidR="00835ABF" w:rsidRPr="00835ABF">
        <w:rPr>
          <w:rFonts w:ascii="National 2" w:eastAsia="Calibri" w:hAnsi="National 2" w:cs="Arial"/>
          <w:sz w:val="22"/>
          <w:szCs w:val="22"/>
        </w:rPr>
        <w:t>with the following three themes:</w:t>
      </w:r>
    </w:p>
    <w:p w:rsidR="00835ABF" w:rsidRPr="00835ABF" w:rsidRDefault="00835ABF" w:rsidP="00835ABF">
      <w:pPr>
        <w:autoSpaceDE w:val="0"/>
        <w:autoSpaceDN w:val="0"/>
        <w:adjustRightInd w:val="0"/>
        <w:spacing w:after="0"/>
        <w:jc w:val="both"/>
        <w:rPr>
          <w:rFonts w:ascii="National 2" w:eastAsia="Calibri" w:hAnsi="National 2" w:cs="Arial"/>
          <w:color w:val="000000"/>
          <w:sz w:val="22"/>
          <w:szCs w:val="22"/>
        </w:rPr>
      </w:pPr>
    </w:p>
    <w:p w:rsidR="00835ABF" w:rsidRPr="00835ABF" w:rsidRDefault="00835ABF" w:rsidP="00835ABF">
      <w:pPr>
        <w:pStyle w:val="ListParagraph"/>
        <w:numPr>
          <w:ilvl w:val="0"/>
          <w:numId w:val="1"/>
        </w:numPr>
        <w:autoSpaceDE w:val="0"/>
        <w:autoSpaceDN w:val="0"/>
        <w:adjustRightInd w:val="0"/>
        <w:spacing w:after="0"/>
        <w:jc w:val="both"/>
        <w:rPr>
          <w:rFonts w:ascii="National 2" w:eastAsia="Calibri" w:hAnsi="National 2" w:cs="Arial"/>
          <w:color w:val="000000"/>
          <w:sz w:val="22"/>
          <w:szCs w:val="22"/>
        </w:rPr>
      </w:pPr>
      <w:r w:rsidRPr="00835ABF">
        <w:rPr>
          <w:rFonts w:ascii="National 2" w:eastAsia="Calibri" w:hAnsi="National 2" w:cs="Arial"/>
          <w:color w:val="000000"/>
          <w:sz w:val="22"/>
          <w:szCs w:val="22"/>
        </w:rPr>
        <w:t xml:space="preserve">Safe – A safe mobility system can be defined as a system that not only achieves, but outperforms, national and international safety benchmarks. </w:t>
      </w:r>
    </w:p>
    <w:p w:rsidR="00835ABF" w:rsidRPr="00835ABF" w:rsidRDefault="00835ABF" w:rsidP="00835ABF">
      <w:pPr>
        <w:pStyle w:val="ListParagraph"/>
        <w:numPr>
          <w:ilvl w:val="0"/>
          <w:numId w:val="1"/>
        </w:numPr>
        <w:autoSpaceDE w:val="0"/>
        <w:autoSpaceDN w:val="0"/>
        <w:adjustRightInd w:val="0"/>
        <w:spacing w:after="0"/>
        <w:jc w:val="both"/>
        <w:rPr>
          <w:rFonts w:ascii="National 2" w:eastAsia="Calibri" w:hAnsi="National 2" w:cs="Arial"/>
          <w:color w:val="000000"/>
          <w:sz w:val="22"/>
          <w:szCs w:val="22"/>
        </w:rPr>
      </w:pPr>
      <w:r w:rsidRPr="00835ABF">
        <w:rPr>
          <w:rFonts w:ascii="National 2" w:eastAsia="Calibri" w:hAnsi="National 2" w:cs="Arial"/>
          <w:color w:val="000000"/>
          <w:sz w:val="22"/>
          <w:szCs w:val="22"/>
        </w:rPr>
        <w:t>Accessible – To have a cost efficient, convenient and reliable transport network as an essential part of personal mobility.</w:t>
      </w:r>
    </w:p>
    <w:p w:rsidR="00835ABF" w:rsidRPr="00835ABF" w:rsidRDefault="00835ABF" w:rsidP="00835ABF">
      <w:pPr>
        <w:pStyle w:val="ListParagraph"/>
        <w:numPr>
          <w:ilvl w:val="0"/>
          <w:numId w:val="1"/>
        </w:numPr>
        <w:autoSpaceDE w:val="0"/>
        <w:autoSpaceDN w:val="0"/>
        <w:adjustRightInd w:val="0"/>
        <w:spacing w:after="0"/>
        <w:jc w:val="both"/>
        <w:rPr>
          <w:rFonts w:ascii="National 2" w:eastAsia="Calibri" w:hAnsi="National 2" w:cs="Arial"/>
          <w:color w:val="000000"/>
          <w:sz w:val="22"/>
          <w:szCs w:val="22"/>
        </w:rPr>
      </w:pPr>
      <w:r w:rsidRPr="00835ABF">
        <w:rPr>
          <w:rFonts w:ascii="National 2" w:eastAsia="Calibri" w:hAnsi="National 2" w:cs="Arial"/>
          <w:color w:val="000000"/>
          <w:sz w:val="22"/>
          <w:szCs w:val="22"/>
        </w:rPr>
        <w:t>Sustainable – Sustainable mobility encompasses the needs of current and future generations, and considers financial, societal and environmental factors.</w:t>
      </w:r>
    </w:p>
    <w:p w:rsidR="00835ABF" w:rsidRDefault="00835ABF" w:rsidP="00A7326C">
      <w:pPr>
        <w:pStyle w:val="Default"/>
        <w:rPr>
          <w:rFonts w:ascii="National 2" w:eastAsia="Calibri" w:hAnsi="National 2" w:cs="Arial"/>
          <w:color w:val="auto"/>
          <w:sz w:val="22"/>
          <w:szCs w:val="22"/>
        </w:rPr>
      </w:pPr>
    </w:p>
    <w:p w:rsidR="00835ABF" w:rsidRDefault="00835ABF" w:rsidP="00835ABF">
      <w:pPr>
        <w:spacing w:after="0"/>
        <w:rPr>
          <w:rFonts w:ascii="National 2" w:eastAsia="Calibri" w:hAnsi="National 2" w:cs="Arial"/>
          <w:color w:val="000000"/>
          <w:sz w:val="22"/>
          <w:szCs w:val="22"/>
        </w:rPr>
      </w:pPr>
      <w:r w:rsidRPr="00835ABF">
        <w:rPr>
          <w:rFonts w:ascii="National 2" w:eastAsia="Calibri" w:hAnsi="National 2" w:cs="Arial"/>
          <w:color w:val="000000"/>
          <w:sz w:val="22"/>
          <w:szCs w:val="22"/>
        </w:rPr>
        <w:t>RAA, through its community education programs has for a number of years provided comprehensive information on the selection and safe operation of motorised mobility devices (MMD</w:t>
      </w:r>
      <w:r w:rsidR="0053194A">
        <w:rPr>
          <w:rFonts w:ascii="National 2" w:eastAsia="Calibri" w:hAnsi="National 2" w:cs="Arial"/>
          <w:color w:val="000000"/>
          <w:sz w:val="22"/>
          <w:szCs w:val="22"/>
        </w:rPr>
        <w:t>s</w:t>
      </w:r>
      <w:r w:rsidRPr="00835ABF">
        <w:rPr>
          <w:rFonts w:ascii="National 2" w:eastAsia="Calibri" w:hAnsi="National 2" w:cs="Arial"/>
          <w:color w:val="000000"/>
          <w:sz w:val="22"/>
          <w:szCs w:val="22"/>
        </w:rPr>
        <w:t xml:space="preserve">), in particular, on the recommendations, guidelines and legislation surrounding their use.  It is also an authorised retailer. </w:t>
      </w:r>
    </w:p>
    <w:p w:rsidR="00835ABF" w:rsidRDefault="00835ABF" w:rsidP="00835ABF">
      <w:pPr>
        <w:spacing w:after="0"/>
        <w:rPr>
          <w:rFonts w:ascii="National 2" w:eastAsia="Calibri" w:hAnsi="National 2" w:cs="Arial"/>
          <w:color w:val="000000"/>
          <w:sz w:val="22"/>
          <w:szCs w:val="22"/>
        </w:rPr>
      </w:pPr>
    </w:p>
    <w:p w:rsidR="00835ABF" w:rsidRPr="00835ABF" w:rsidRDefault="00835ABF" w:rsidP="00835ABF">
      <w:pPr>
        <w:autoSpaceDE w:val="0"/>
        <w:autoSpaceDN w:val="0"/>
        <w:adjustRightInd w:val="0"/>
        <w:spacing w:after="0"/>
        <w:jc w:val="both"/>
        <w:rPr>
          <w:rFonts w:ascii="National 2" w:eastAsia="Calibri" w:hAnsi="National 2" w:cs="Arial"/>
          <w:color w:val="000000"/>
          <w:sz w:val="22"/>
          <w:szCs w:val="22"/>
        </w:rPr>
      </w:pPr>
      <w:r w:rsidRPr="00835ABF">
        <w:rPr>
          <w:rFonts w:ascii="National 2" w:eastAsia="Calibri" w:hAnsi="National 2" w:cs="Arial"/>
          <w:color w:val="000000"/>
          <w:sz w:val="22"/>
          <w:szCs w:val="22"/>
        </w:rPr>
        <w:t>The discussion paper poses two questions concerning proposed changes to the maximum permitted mass of MMD’s on footpaths and their classification as pedestrians. RAA’s response and recommendation</w:t>
      </w:r>
      <w:r w:rsidR="0053194A">
        <w:rPr>
          <w:rFonts w:ascii="National 2" w:eastAsia="Calibri" w:hAnsi="National 2" w:cs="Arial"/>
          <w:color w:val="000000"/>
          <w:sz w:val="22"/>
          <w:szCs w:val="22"/>
        </w:rPr>
        <w:t>s</w:t>
      </w:r>
      <w:r w:rsidRPr="00835ABF">
        <w:rPr>
          <w:rFonts w:ascii="National 2" w:eastAsia="Calibri" w:hAnsi="National 2" w:cs="Arial"/>
          <w:color w:val="000000"/>
          <w:sz w:val="22"/>
          <w:szCs w:val="22"/>
        </w:rPr>
        <w:t xml:space="preserve"> are provided below. </w:t>
      </w:r>
    </w:p>
    <w:p w:rsidR="00835ABF" w:rsidRPr="00A7326C" w:rsidRDefault="00835ABF" w:rsidP="00A7326C">
      <w:pPr>
        <w:pStyle w:val="Default"/>
        <w:rPr>
          <w:rFonts w:ascii="National 2" w:eastAsia="Calibri" w:hAnsi="National 2" w:cs="Arial"/>
          <w:color w:val="auto"/>
          <w:sz w:val="22"/>
          <w:szCs w:val="22"/>
        </w:rPr>
      </w:pPr>
    </w:p>
    <w:p w:rsidR="00835ABF" w:rsidRPr="00835ABF" w:rsidRDefault="00835ABF" w:rsidP="00835ABF">
      <w:pPr>
        <w:keepNext/>
        <w:numPr>
          <w:ilvl w:val="2"/>
          <w:numId w:val="0"/>
        </w:numPr>
        <w:spacing w:after="0"/>
        <w:contextualSpacing/>
        <w:outlineLvl w:val="3"/>
        <w:rPr>
          <w:rFonts w:ascii="National 2" w:eastAsia="Calibri" w:hAnsi="National 2" w:cs="Arial"/>
          <w:b/>
          <w:sz w:val="22"/>
          <w:szCs w:val="22"/>
        </w:rPr>
      </w:pPr>
      <w:r>
        <w:rPr>
          <w:rFonts w:ascii="National 2" w:eastAsia="Calibri" w:hAnsi="National 2" w:cs="Arial"/>
          <w:b/>
          <w:sz w:val="22"/>
          <w:szCs w:val="22"/>
        </w:rPr>
        <w:t xml:space="preserve">QUESTION 1 - </w:t>
      </w:r>
      <w:r w:rsidRPr="00835ABF">
        <w:rPr>
          <w:rFonts w:ascii="National 2" w:eastAsia="Calibri" w:hAnsi="National 2" w:cs="Arial"/>
          <w:b/>
          <w:sz w:val="22"/>
          <w:szCs w:val="22"/>
        </w:rPr>
        <w:t>Do you agree with aligning the maximum unladen mass with the Australian Technical Specification or is there a more appropriate response to overcome the regulatory barriers identified?</w:t>
      </w:r>
    </w:p>
    <w:p w:rsidR="007866C2" w:rsidRPr="00A7326C" w:rsidRDefault="007866C2" w:rsidP="0027212A">
      <w:pPr>
        <w:pBdr>
          <w:bottom w:val="single" w:sz="4" w:space="1" w:color="auto"/>
        </w:pBdr>
        <w:autoSpaceDE w:val="0"/>
        <w:autoSpaceDN w:val="0"/>
        <w:adjustRightInd w:val="0"/>
        <w:spacing w:after="0"/>
        <w:rPr>
          <w:rFonts w:ascii="National 2" w:eastAsia="Calibri" w:hAnsi="National 2" w:cs="Arial"/>
          <w:b/>
          <w:sz w:val="22"/>
          <w:szCs w:val="22"/>
        </w:rPr>
      </w:pPr>
    </w:p>
    <w:p w:rsidR="0027212A" w:rsidRDefault="0027212A" w:rsidP="00A7326C">
      <w:pPr>
        <w:spacing w:after="0"/>
        <w:rPr>
          <w:rFonts w:ascii="National 2" w:eastAsia="Calibri" w:hAnsi="National 2" w:cs="Arial"/>
          <w:sz w:val="22"/>
          <w:szCs w:val="22"/>
        </w:rPr>
      </w:pPr>
    </w:p>
    <w:p w:rsidR="00835ABF" w:rsidRPr="00835ABF" w:rsidRDefault="00835ABF" w:rsidP="00835ABF">
      <w:pPr>
        <w:spacing w:after="0"/>
        <w:rPr>
          <w:rFonts w:ascii="National 2" w:eastAsia="Calibri" w:hAnsi="National 2" w:cs="Arial"/>
          <w:color w:val="000000"/>
          <w:sz w:val="22"/>
          <w:szCs w:val="22"/>
        </w:rPr>
      </w:pPr>
      <w:r w:rsidRPr="00835ABF">
        <w:rPr>
          <w:rFonts w:ascii="National 2" w:eastAsia="Calibri" w:hAnsi="National 2" w:cs="Arial"/>
          <w:color w:val="000000"/>
          <w:sz w:val="22"/>
          <w:szCs w:val="22"/>
        </w:rPr>
        <w:t xml:space="preserve">Feedback received by RAA during the presentation of our community education programs on </w:t>
      </w:r>
      <w:r w:rsidR="0018267D">
        <w:rPr>
          <w:rFonts w:ascii="National 2" w:eastAsia="Calibri" w:hAnsi="National 2" w:cs="Arial"/>
          <w:color w:val="000000"/>
          <w:sz w:val="22"/>
          <w:szCs w:val="22"/>
        </w:rPr>
        <w:t>MMDs</w:t>
      </w:r>
      <w:r w:rsidRPr="00835ABF">
        <w:rPr>
          <w:rFonts w:ascii="National 2" w:eastAsia="Calibri" w:hAnsi="National 2" w:cs="Arial"/>
          <w:color w:val="000000"/>
          <w:sz w:val="22"/>
          <w:szCs w:val="22"/>
        </w:rPr>
        <w:t xml:space="preserve"> highlights that users are confused around the current restrictions regarding where and how these devices can be legally used. For example, most users believe they should use the footpath regardless of the classification of their device</w:t>
      </w:r>
      <w:r w:rsidR="00D24823">
        <w:rPr>
          <w:rFonts w:ascii="National 2" w:eastAsia="Calibri" w:hAnsi="National 2" w:cs="Arial"/>
          <w:color w:val="000000"/>
          <w:sz w:val="22"/>
          <w:szCs w:val="22"/>
        </w:rPr>
        <w:t xml:space="preserve">. Further, our observation is that </w:t>
      </w:r>
      <w:r w:rsidRPr="00835ABF">
        <w:rPr>
          <w:rFonts w:ascii="National 2" w:eastAsia="Calibri" w:hAnsi="National 2" w:cs="Arial"/>
          <w:color w:val="000000"/>
          <w:sz w:val="22"/>
          <w:szCs w:val="22"/>
        </w:rPr>
        <w:t>those that do use the road are doing so out of convenience</w:t>
      </w:r>
      <w:r w:rsidR="00D24823">
        <w:rPr>
          <w:rFonts w:ascii="National 2" w:eastAsia="Calibri" w:hAnsi="National 2" w:cs="Arial"/>
          <w:color w:val="000000"/>
          <w:sz w:val="22"/>
          <w:szCs w:val="22"/>
        </w:rPr>
        <w:t>,</w:t>
      </w:r>
      <w:r w:rsidRPr="00835ABF">
        <w:rPr>
          <w:rFonts w:ascii="National 2" w:eastAsia="Calibri" w:hAnsi="National 2" w:cs="Arial"/>
          <w:color w:val="000000"/>
          <w:sz w:val="22"/>
          <w:szCs w:val="22"/>
        </w:rPr>
        <w:t xml:space="preserve"> rather than in order to comply with current requirements.</w:t>
      </w:r>
    </w:p>
    <w:p w:rsidR="00835ABF" w:rsidRPr="00835ABF" w:rsidRDefault="00835ABF" w:rsidP="00835ABF">
      <w:pPr>
        <w:spacing w:after="0"/>
        <w:rPr>
          <w:rFonts w:ascii="National 2" w:eastAsia="Calibri" w:hAnsi="National 2" w:cs="Arial"/>
          <w:color w:val="000000"/>
          <w:sz w:val="22"/>
          <w:szCs w:val="22"/>
        </w:rPr>
      </w:pPr>
    </w:p>
    <w:p w:rsidR="00A7326C" w:rsidRPr="00835ABF" w:rsidRDefault="00835ABF" w:rsidP="00835ABF">
      <w:pPr>
        <w:spacing w:after="0"/>
        <w:rPr>
          <w:rFonts w:ascii="National 2" w:eastAsia="Calibri" w:hAnsi="National 2" w:cs="Arial"/>
          <w:color w:val="000000"/>
          <w:sz w:val="22"/>
          <w:szCs w:val="22"/>
        </w:rPr>
      </w:pPr>
      <w:r w:rsidRPr="00835ABF">
        <w:rPr>
          <w:rFonts w:ascii="National 2" w:eastAsia="Calibri" w:hAnsi="National 2" w:cs="Arial"/>
          <w:color w:val="000000"/>
          <w:sz w:val="22"/>
          <w:szCs w:val="22"/>
        </w:rPr>
        <w:t>The current law states that devices not capable of travelling over 10km/h and have an unladen mass of not more than 110kgs are classified as pedestrians and therefore must follow the laws pertaining to pedestrians. While MMD’s capable of speeds exceeding 10km/h can only be used on the footpath if they don’t travel at more than 10km/h and do not exceed the unladen mass of 110kgs, the fact that they can</w:t>
      </w:r>
    </w:p>
    <w:p w:rsidR="0027212A" w:rsidRDefault="0027212A">
      <w:pPr>
        <w:spacing w:after="0"/>
        <w:rPr>
          <w:rFonts w:ascii="National 2" w:eastAsia="Calibri" w:hAnsi="National 2" w:cs="Arial"/>
          <w:sz w:val="22"/>
          <w:szCs w:val="22"/>
        </w:rPr>
      </w:pPr>
    </w:p>
    <w:p w:rsidR="00835ABF" w:rsidRPr="00F81F5C" w:rsidRDefault="00835ABF" w:rsidP="00835ABF">
      <w:pPr>
        <w:spacing w:after="0" w:line="210" w:lineRule="atLeast"/>
        <w:rPr>
          <w:rFonts w:ascii="National 2" w:eastAsia="Calibri" w:hAnsi="National 2" w:cs="Arial"/>
          <w:color w:val="000000"/>
          <w:sz w:val="22"/>
          <w:szCs w:val="22"/>
        </w:rPr>
      </w:pPr>
      <w:r w:rsidRPr="00F81F5C">
        <w:rPr>
          <w:rFonts w:ascii="National 2" w:eastAsia="Calibri" w:hAnsi="National 2" w:cs="Arial"/>
          <w:color w:val="000000"/>
          <w:sz w:val="22"/>
          <w:szCs w:val="22"/>
        </w:rPr>
        <w:t xml:space="preserve">RAA would therefore support the proposed changes to unladen mass limits to align with the </w:t>
      </w:r>
      <w:r w:rsidR="000264FE">
        <w:rPr>
          <w:rFonts w:ascii="National 2" w:eastAsia="Calibri" w:hAnsi="National 2" w:cs="Arial"/>
          <w:color w:val="000000"/>
          <w:sz w:val="22"/>
          <w:szCs w:val="22"/>
        </w:rPr>
        <w:t>Australian Technical Specification</w:t>
      </w:r>
      <w:r w:rsidRPr="00F81F5C">
        <w:rPr>
          <w:rFonts w:ascii="National 2" w:eastAsia="Calibri" w:hAnsi="National 2" w:cs="Arial"/>
          <w:color w:val="000000"/>
          <w:sz w:val="22"/>
          <w:szCs w:val="22"/>
        </w:rPr>
        <w:t>, thereby removing the different requirements within the legislation for devices of different mass.</w:t>
      </w:r>
    </w:p>
    <w:p w:rsidR="00835ABF" w:rsidRPr="00F81F5C" w:rsidRDefault="00835ABF" w:rsidP="00835ABF">
      <w:pPr>
        <w:spacing w:after="0" w:line="210" w:lineRule="atLeast"/>
        <w:ind w:left="-720"/>
        <w:rPr>
          <w:rFonts w:ascii="National 2" w:eastAsia="Calibri" w:hAnsi="National 2" w:cs="Arial"/>
          <w:color w:val="000000"/>
          <w:sz w:val="22"/>
          <w:szCs w:val="22"/>
        </w:rPr>
      </w:pPr>
    </w:p>
    <w:p w:rsidR="00835ABF" w:rsidRPr="00835ABF" w:rsidRDefault="00835ABF" w:rsidP="00835ABF">
      <w:pPr>
        <w:spacing w:after="0" w:line="210" w:lineRule="atLeast"/>
        <w:rPr>
          <w:rFonts w:ascii="National 2" w:eastAsia="Calibri" w:hAnsi="National 2" w:cs="Arial"/>
          <w:color w:val="000000"/>
          <w:sz w:val="22"/>
          <w:szCs w:val="22"/>
        </w:rPr>
      </w:pPr>
      <w:r w:rsidRPr="00F81F5C">
        <w:rPr>
          <w:rFonts w:ascii="National 2" w:eastAsia="Calibri" w:hAnsi="National 2" w:cs="Arial"/>
          <w:color w:val="000000"/>
          <w:sz w:val="22"/>
          <w:szCs w:val="22"/>
        </w:rPr>
        <w:lastRenderedPageBreak/>
        <w:t xml:space="preserve">The proposed increase in permitted mass may render some devices unsuitable for use on some public transport where a current gross mass of 300kg applies. For this reason, RAA supports the proposed </w:t>
      </w:r>
      <w:r w:rsidRPr="00835ABF">
        <w:rPr>
          <w:rFonts w:ascii="National 2" w:eastAsia="Calibri" w:hAnsi="National 2" w:cs="Arial"/>
          <w:color w:val="000000"/>
          <w:sz w:val="22"/>
          <w:szCs w:val="22"/>
        </w:rPr>
        <w:t xml:space="preserve">labelling system for MMDs that will assist the purchaser in selecting a device that complies with the mass and dimensional limitations that apply to public transport. </w:t>
      </w:r>
    </w:p>
    <w:p w:rsidR="00835ABF" w:rsidRPr="00835ABF" w:rsidRDefault="00835ABF" w:rsidP="00835ABF">
      <w:pPr>
        <w:spacing w:after="0" w:line="210" w:lineRule="atLeast"/>
        <w:ind w:left="-720"/>
        <w:rPr>
          <w:rFonts w:ascii="National 2" w:eastAsia="Calibri" w:hAnsi="National 2" w:cs="Arial"/>
          <w:color w:val="000000"/>
          <w:sz w:val="22"/>
          <w:szCs w:val="22"/>
        </w:rPr>
      </w:pPr>
    </w:p>
    <w:p w:rsidR="00835ABF" w:rsidRPr="00835ABF" w:rsidRDefault="00835ABF" w:rsidP="00835ABF">
      <w:pPr>
        <w:spacing w:after="0" w:line="210" w:lineRule="atLeast"/>
        <w:rPr>
          <w:rFonts w:ascii="National 2" w:eastAsia="Calibri" w:hAnsi="National 2" w:cs="Arial"/>
          <w:color w:val="000000"/>
          <w:sz w:val="22"/>
          <w:szCs w:val="22"/>
        </w:rPr>
      </w:pPr>
      <w:r w:rsidRPr="00835ABF">
        <w:rPr>
          <w:rFonts w:ascii="National 2" w:eastAsia="Calibri" w:hAnsi="National 2" w:cs="Arial"/>
          <w:color w:val="000000"/>
          <w:sz w:val="22"/>
          <w:szCs w:val="22"/>
        </w:rPr>
        <w:t xml:space="preserve">RAA considers that the speed limit of MMDs classified as pedestrians should remain at 10km/h for the safety of users of these devices and importantly that of other pedestrians. As identified in the discussion paper, increasing the speed by only 5 km/h would make a considerable difference to the kinetic energy with the consequent risk of serious injury to pedestrians sharing the footpath. </w:t>
      </w:r>
    </w:p>
    <w:p w:rsidR="00835ABF" w:rsidRDefault="00835ABF" w:rsidP="00835ABF">
      <w:pPr>
        <w:spacing w:after="0" w:line="210" w:lineRule="atLeast"/>
        <w:rPr>
          <w:rFonts w:ascii="Arial" w:hAnsi="Arial" w:cs="Arial"/>
          <w:sz w:val="22"/>
          <w:szCs w:val="22"/>
        </w:rPr>
      </w:pPr>
    </w:p>
    <w:p w:rsidR="00B82903" w:rsidRDefault="00835ABF" w:rsidP="00B82903">
      <w:pPr>
        <w:pStyle w:val="Heading4"/>
        <w:pBdr>
          <w:top w:val="single" w:sz="4" w:space="1" w:color="auto"/>
          <w:left w:val="single" w:sz="4" w:space="4" w:color="auto"/>
          <w:bottom w:val="single" w:sz="4" w:space="1" w:color="auto"/>
          <w:right w:val="single" w:sz="4" w:space="4" w:color="auto"/>
        </w:pBdr>
        <w:shd w:val="clear" w:color="auto" w:fill="D9D9D9" w:themeFill="background1" w:themeFillShade="D9"/>
        <w:rPr>
          <w:rFonts w:eastAsia="Calibri"/>
          <w:bCs w:val="0"/>
          <w:color w:val="000000"/>
          <w:szCs w:val="22"/>
          <w:lang w:eastAsia="en-US"/>
        </w:rPr>
      </w:pPr>
      <w:r w:rsidRPr="000264FE">
        <w:rPr>
          <w:rFonts w:eastAsia="Calibri"/>
          <w:bCs w:val="0"/>
          <w:color w:val="000000"/>
          <w:szCs w:val="22"/>
          <w:lang w:eastAsia="en-US"/>
        </w:rPr>
        <w:t xml:space="preserve">RAA </w:t>
      </w:r>
      <w:r w:rsidR="00B82903">
        <w:rPr>
          <w:rFonts w:eastAsia="Calibri"/>
          <w:bCs w:val="0"/>
          <w:color w:val="000000"/>
          <w:szCs w:val="22"/>
          <w:lang w:eastAsia="en-US"/>
        </w:rPr>
        <w:t>Recommends:</w:t>
      </w:r>
      <w:r w:rsidRPr="000264FE">
        <w:rPr>
          <w:rFonts w:eastAsia="Calibri"/>
          <w:bCs w:val="0"/>
          <w:color w:val="000000"/>
          <w:szCs w:val="22"/>
          <w:lang w:eastAsia="en-US"/>
        </w:rPr>
        <w:t xml:space="preserve"> </w:t>
      </w:r>
    </w:p>
    <w:p w:rsidR="00B82903" w:rsidRDefault="00B82903" w:rsidP="00B82903">
      <w:pPr>
        <w:pStyle w:val="Heading4"/>
        <w:pBdr>
          <w:top w:val="single" w:sz="4" w:space="1" w:color="auto"/>
          <w:left w:val="single" w:sz="4" w:space="4" w:color="auto"/>
          <w:bottom w:val="single" w:sz="4" w:space="1" w:color="auto"/>
          <w:right w:val="single" w:sz="4" w:space="4" w:color="auto"/>
        </w:pBdr>
        <w:shd w:val="clear" w:color="auto" w:fill="D9D9D9" w:themeFill="background1" w:themeFillShade="D9"/>
        <w:rPr>
          <w:rFonts w:eastAsia="Calibri"/>
          <w:bCs w:val="0"/>
          <w:color w:val="000000"/>
          <w:szCs w:val="22"/>
          <w:lang w:eastAsia="en-US"/>
        </w:rPr>
      </w:pPr>
    </w:p>
    <w:p w:rsidR="00835ABF" w:rsidRPr="00B82903" w:rsidRDefault="00B82903" w:rsidP="00B82903">
      <w:pPr>
        <w:pStyle w:val="Heading4"/>
        <w:pBdr>
          <w:top w:val="single" w:sz="4" w:space="1" w:color="auto"/>
          <w:left w:val="single" w:sz="4" w:space="4" w:color="auto"/>
          <w:bottom w:val="single" w:sz="4" w:space="1" w:color="auto"/>
          <w:right w:val="single" w:sz="4" w:space="4" w:color="auto"/>
        </w:pBdr>
        <w:shd w:val="clear" w:color="auto" w:fill="D9D9D9" w:themeFill="background1" w:themeFillShade="D9"/>
        <w:rPr>
          <w:rFonts w:eastAsia="Calibri"/>
          <w:b w:val="0"/>
          <w:bCs w:val="0"/>
          <w:color w:val="000000"/>
          <w:szCs w:val="22"/>
          <w:lang w:eastAsia="en-US"/>
        </w:rPr>
      </w:pPr>
      <w:r>
        <w:rPr>
          <w:rFonts w:eastAsia="Calibri"/>
          <w:b w:val="0"/>
          <w:color w:val="000000"/>
          <w:lang w:eastAsia="en-US"/>
        </w:rPr>
        <w:t>T</w:t>
      </w:r>
      <w:r w:rsidR="00835ABF" w:rsidRPr="00B82903">
        <w:rPr>
          <w:rFonts w:eastAsia="Calibri"/>
          <w:b w:val="0"/>
          <w:color w:val="000000"/>
          <w:lang w:eastAsia="en-US"/>
        </w:rPr>
        <w:t xml:space="preserve">he removal of the limited unladen mass to align with the Australian Technical Specification. </w:t>
      </w:r>
    </w:p>
    <w:p w:rsidR="00835ABF" w:rsidRPr="000264FE" w:rsidRDefault="00835ABF" w:rsidP="00835ABF">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rFonts w:ascii="National 2" w:eastAsia="Calibri" w:hAnsi="National 2" w:cs="Arial"/>
          <w:i w:val="0"/>
          <w:color w:val="000000"/>
        </w:rPr>
      </w:pPr>
      <w:r w:rsidRPr="000264FE">
        <w:rPr>
          <w:rFonts w:ascii="National 2" w:eastAsia="Calibri" w:hAnsi="National 2" w:cs="Arial"/>
          <w:i w:val="0"/>
          <w:color w:val="000000"/>
        </w:rPr>
        <w:t>Th</w:t>
      </w:r>
      <w:r w:rsidR="00B82903">
        <w:rPr>
          <w:rFonts w:ascii="National 2" w:eastAsia="Calibri" w:hAnsi="National 2" w:cs="Arial"/>
          <w:i w:val="0"/>
          <w:color w:val="000000"/>
        </w:rPr>
        <w:t>at the</w:t>
      </w:r>
      <w:r w:rsidRPr="000264FE">
        <w:rPr>
          <w:rFonts w:ascii="National 2" w:eastAsia="Calibri" w:hAnsi="National 2" w:cs="Arial"/>
          <w:i w:val="0"/>
          <w:color w:val="000000"/>
        </w:rPr>
        <w:t xml:space="preserve"> current maximum permitted speed limit for a motorised mobility device used on footpaths and other pedestrian environments should remain at 10km/h. </w:t>
      </w:r>
    </w:p>
    <w:p w:rsidR="00835ABF" w:rsidRDefault="00835ABF" w:rsidP="00835ABF">
      <w:pPr>
        <w:pStyle w:val="Heading4"/>
        <w:spacing w:before="0" w:after="0" w:line="240" w:lineRule="auto"/>
      </w:pPr>
    </w:p>
    <w:p w:rsidR="00835ABF" w:rsidRPr="00835ABF" w:rsidRDefault="00835ABF" w:rsidP="00835ABF">
      <w:pPr>
        <w:pStyle w:val="Heading4"/>
        <w:spacing w:before="0" w:after="0" w:line="240" w:lineRule="auto"/>
      </w:pPr>
      <w:r w:rsidRPr="00835ABF">
        <w:t>QUESTION 2</w:t>
      </w:r>
      <w:r w:rsidR="00A7326C" w:rsidRPr="00835ABF">
        <w:t xml:space="preserve"> </w:t>
      </w:r>
      <w:r w:rsidRPr="00835ABF">
        <w:t>- Do you agree with the proposed pedestrian classification?  Is it appropriate that all MMD operators are required to follow the pedestrian road rules?</w:t>
      </w:r>
    </w:p>
    <w:p w:rsidR="00F13FFF" w:rsidRPr="00A7326C" w:rsidRDefault="00F13FFF" w:rsidP="0027212A">
      <w:pPr>
        <w:pBdr>
          <w:bottom w:val="single" w:sz="4" w:space="1" w:color="auto"/>
        </w:pBdr>
        <w:autoSpaceDE w:val="0"/>
        <w:autoSpaceDN w:val="0"/>
        <w:adjustRightInd w:val="0"/>
        <w:spacing w:after="0"/>
        <w:rPr>
          <w:rFonts w:ascii="National 2" w:eastAsia="Calibri" w:hAnsi="National 2" w:cs="Arial"/>
          <w:b/>
          <w:sz w:val="22"/>
          <w:szCs w:val="22"/>
        </w:rPr>
      </w:pPr>
    </w:p>
    <w:p w:rsidR="0027212A" w:rsidRDefault="0027212A" w:rsidP="00A7326C">
      <w:pPr>
        <w:pStyle w:val="Default"/>
        <w:rPr>
          <w:rFonts w:ascii="National 2" w:hAnsi="National 2" w:cs="Arial"/>
          <w:sz w:val="22"/>
          <w:szCs w:val="22"/>
        </w:rPr>
      </w:pPr>
    </w:p>
    <w:p w:rsidR="00835ABF" w:rsidRPr="00835ABF" w:rsidRDefault="00835ABF" w:rsidP="00835ABF">
      <w:pPr>
        <w:spacing w:after="0" w:line="210" w:lineRule="atLeast"/>
        <w:rPr>
          <w:rFonts w:ascii="National 2" w:eastAsia="Calibri" w:hAnsi="National 2" w:cs="Arial"/>
          <w:color w:val="000000"/>
          <w:sz w:val="22"/>
          <w:szCs w:val="22"/>
        </w:rPr>
      </w:pPr>
      <w:r w:rsidRPr="00835ABF">
        <w:rPr>
          <w:rFonts w:ascii="National 2" w:eastAsia="Calibri" w:hAnsi="National 2" w:cs="Arial"/>
          <w:color w:val="000000"/>
          <w:sz w:val="22"/>
          <w:szCs w:val="22"/>
        </w:rPr>
        <w:t xml:space="preserve">RAA supports the classification of all users of MMDs as a pedestrian providing that where the device is capable of exceeding 10 km/h that it must not travel above this speed. Research into the range of devices currently on the market shows that very few claim to have a top speed over 10km/h, however there are older models that are capable of speeds greater than 10km/h.  If the device has the ability to exceed the limit, the onus will be on the user to ensure that they do not do so although in practice this is difficult to gauge without use of a GPS device.   </w:t>
      </w:r>
    </w:p>
    <w:p w:rsidR="00835ABF" w:rsidRPr="00835ABF" w:rsidRDefault="00835ABF" w:rsidP="00835ABF">
      <w:pPr>
        <w:spacing w:after="0" w:line="210" w:lineRule="atLeast"/>
        <w:rPr>
          <w:rFonts w:ascii="National 2" w:eastAsia="Calibri" w:hAnsi="National 2" w:cs="Arial"/>
          <w:color w:val="000000"/>
          <w:sz w:val="22"/>
          <w:szCs w:val="22"/>
        </w:rPr>
      </w:pPr>
    </w:p>
    <w:p w:rsidR="00835ABF" w:rsidRPr="00835ABF" w:rsidRDefault="00835ABF" w:rsidP="00835ABF">
      <w:pPr>
        <w:spacing w:after="0" w:line="210" w:lineRule="atLeast"/>
        <w:rPr>
          <w:rFonts w:ascii="National 2" w:eastAsia="Calibri" w:hAnsi="National 2" w:cs="Arial"/>
          <w:color w:val="000000"/>
          <w:sz w:val="22"/>
          <w:szCs w:val="22"/>
        </w:rPr>
      </w:pPr>
      <w:r w:rsidRPr="00835ABF">
        <w:rPr>
          <w:rFonts w:ascii="National 2" w:eastAsia="Calibri" w:hAnsi="National 2" w:cs="Arial"/>
          <w:color w:val="000000"/>
          <w:sz w:val="22"/>
          <w:szCs w:val="22"/>
        </w:rPr>
        <w:t xml:space="preserve">We support the proposal to seek an amendment to the Australian Design Rules to allow all users of MMDs to be classified as pedestrians and be therefore required to abide by the rules applicable to pedestrians, irrespective of the speed capability of the device. Not only is the inclusion of a definition within the ARRs for these devices supported, it is recommended that that under the broad heading of MMDs, consideration also be given to having separate definitions for devices commonly known as mobility scooters and motorised wheelchairs. </w:t>
      </w:r>
    </w:p>
    <w:p w:rsidR="00835ABF" w:rsidRPr="00835ABF" w:rsidRDefault="00835ABF" w:rsidP="00835ABF">
      <w:pPr>
        <w:spacing w:after="0" w:line="210" w:lineRule="atLeast"/>
        <w:rPr>
          <w:rFonts w:ascii="National 2" w:eastAsia="Calibri" w:hAnsi="National 2" w:cs="Arial"/>
          <w:color w:val="000000"/>
          <w:sz w:val="22"/>
          <w:szCs w:val="22"/>
        </w:rPr>
      </w:pPr>
    </w:p>
    <w:p w:rsidR="008843E3" w:rsidRDefault="00835ABF" w:rsidP="00835ABF">
      <w:pPr>
        <w:spacing w:after="0" w:line="210" w:lineRule="atLeast"/>
        <w:rPr>
          <w:rFonts w:ascii="National 2" w:eastAsia="Calibri" w:hAnsi="National 2" w:cs="Arial"/>
          <w:color w:val="000000"/>
          <w:sz w:val="22"/>
          <w:szCs w:val="22"/>
        </w:rPr>
      </w:pPr>
      <w:r w:rsidRPr="00835ABF">
        <w:rPr>
          <w:rFonts w:ascii="National 2" w:eastAsia="Calibri" w:hAnsi="National 2" w:cs="Arial"/>
          <w:color w:val="000000"/>
          <w:sz w:val="22"/>
          <w:szCs w:val="22"/>
        </w:rPr>
        <w:t>The two devices are quite different in their design and by defining them in the ARRs would separate them from the recreational scooters as defined in ARR 244(a) that are quite different in their use, design and requirements.  The retail industry has taken to incorrectly calling these mobility devices 'scooters', despite the fact that ARR 244(c) prohibited 'motorised scooters' from being used on roads or road related areas in this state.  That prohibition was removed in February this year to enable the introduction of e-scooters.  Defining MMDs in the ARRs as proposed, would address the current inconsistencies between retail/consumer language and the legislation</w:t>
      </w:r>
      <w:r w:rsidR="00D12652">
        <w:rPr>
          <w:rFonts w:ascii="National 2" w:eastAsia="Calibri" w:hAnsi="National 2" w:cs="Arial"/>
          <w:color w:val="000000"/>
          <w:sz w:val="22"/>
          <w:szCs w:val="22"/>
        </w:rPr>
        <w:t xml:space="preserve">. </w:t>
      </w:r>
    </w:p>
    <w:p w:rsidR="00D12652" w:rsidRDefault="00D12652" w:rsidP="00835ABF">
      <w:pPr>
        <w:spacing w:after="0" w:line="210" w:lineRule="atLeast"/>
        <w:rPr>
          <w:rFonts w:ascii="National 2" w:eastAsia="Calibri" w:hAnsi="National 2" w:cs="Arial"/>
          <w:color w:val="000000"/>
          <w:sz w:val="22"/>
          <w:szCs w:val="22"/>
        </w:rPr>
      </w:pPr>
    </w:p>
    <w:p w:rsidR="00A11E55" w:rsidRDefault="00D12652" w:rsidP="00A11E55">
      <w:pPr>
        <w:pStyle w:val="Heading4"/>
        <w:pBdr>
          <w:top w:val="single" w:sz="4" w:space="1" w:color="auto"/>
          <w:left w:val="single" w:sz="4" w:space="4" w:color="auto"/>
          <w:bottom w:val="single" w:sz="4" w:space="1" w:color="auto"/>
          <w:right w:val="single" w:sz="4" w:space="4" w:color="auto"/>
        </w:pBdr>
        <w:shd w:val="clear" w:color="auto" w:fill="D9D9D9" w:themeFill="background1" w:themeFillShade="D9"/>
        <w:rPr>
          <w:rFonts w:eastAsia="Calibri"/>
          <w:bCs w:val="0"/>
          <w:color w:val="000000"/>
          <w:szCs w:val="22"/>
          <w:lang w:eastAsia="en-US"/>
        </w:rPr>
      </w:pPr>
      <w:r w:rsidRPr="000264FE">
        <w:rPr>
          <w:rFonts w:eastAsia="Calibri"/>
          <w:bCs w:val="0"/>
          <w:color w:val="000000"/>
          <w:szCs w:val="22"/>
          <w:lang w:eastAsia="en-US"/>
        </w:rPr>
        <w:t xml:space="preserve">RAA </w:t>
      </w:r>
      <w:r>
        <w:rPr>
          <w:rFonts w:eastAsia="Calibri"/>
          <w:bCs w:val="0"/>
          <w:color w:val="000000"/>
          <w:szCs w:val="22"/>
          <w:lang w:eastAsia="en-US"/>
        </w:rPr>
        <w:t>Recommends:</w:t>
      </w:r>
      <w:r w:rsidRPr="000264FE">
        <w:rPr>
          <w:rFonts w:eastAsia="Calibri"/>
          <w:bCs w:val="0"/>
          <w:color w:val="000000"/>
          <w:szCs w:val="22"/>
          <w:lang w:eastAsia="en-US"/>
        </w:rPr>
        <w:t xml:space="preserve"> </w:t>
      </w:r>
    </w:p>
    <w:p w:rsidR="00A11E55" w:rsidRDefault="00A11E55" w:rsidP="00A11E55">
      <w:pPr>
        <w:pStyle w:val="Heading4"/>
        <w:pBdr>
          <w:top w:val="single" w:sz="4" w:space="1" w:color="auto"/>
          <w:left w:val="single" w:sz="4" w:space="4" w:color="auto"/>
          <w:bottom w:val="single" w:sz="4" w:space="1" w:color="auto"/>
          <w:right w:val="single" w:sz="4" w:space="4" w:color="auto"/>
        </w:pBdr>
        <w:shd w:val="clear" w:color="auto" w:fill="D9D9D9" w:themeFill="background1" w:themeFillShade="D9"/>
        <w:spacing w:before="240"/>
        <w:rPr>
          <w:rFonts w:eastAsia="Calibri"/>
          <w:b w:val="0"/>
          <w:color w:val="000000"/>
          <w:szCs w:val="22"/>
        </w:rPr>
      </w:pPr>
    </w:p>
    <w:p w:rsidR="00D12652" w:rsidRPr="00A11E55" w:rsidRDefault="00A11E55" w:rsidP="00A11E55">
      <w:pPr>
        <w:pStyle w:val="Heading4"/>
        <w:pBdr>
          <w:top w:val="single" w:sz="4" w:space="1" w:color="auto"/>
          <w:left w:val="single" w:sz="4" w:space="4" w:color="auto"/>
          <w:bottom w:val="single" w:sz="4" w:space="1" w:color="auto"/>
          <w:right w:val="single" w:sz="4" w:space="4" w:color="auto"/>
        </w:pBdr>
        <w:shd w:val="clear" w:color="auto" w:fill="D9D9D9" w:themeFill="background1" w:themeFillShade="D9"/>
        <w:spacing w:before="240"/>
        <w:rPr>
          <w:rFonts w:eastAsia="Calibri"/>
          <w:b w:val="0"/>
          <w:bCs w:val="0"/>
          <w:color w:val="000000"/>
          <w:szCs w:val="22"/>
          <w:lang w:eastAsia="en-US"/>
        </w:rPr>
      </w:pPr>
      <w:r>
        <w:rPr>
          <w:rFonts w:eastAsia="Calibri"/>
          <w:b w:val="0"/>
          <w:color w:val="000000"/>
          <w:szCs w:val="22"/>
        </w:rPr>
        <w:t>That</w:t>
      </w:r>
      <w:r w:rsidR="00D12652" w:rsidRPr="00A11E55">
        <w:rPr>
          <w:rFonts w:eastAsia="Calibri"/>
          <w:b w:val="0"/>
          <w:color w:val="000000"/>
          <w:szCs w:val="22"/>
        </w:rPr>
        <w:t xml:space="preserve"> MMD users be classified as pedestrians, with the caveat that users </w:t>
      </w:r>
      <w:r>
        <w:rPr>
          <w:rFonts w:eastAsia="Calibri"/>
          <w:b w:val="0"/>
          <w:color w:val="000000"/>
          <w:szCs w:val="22"/>
        </w:rPr>
        <w:t>m</w:t>
      </w:r>
      <w:r w:rsidR="00D12652" w:rsidRPr="00A11E55">
        <w:rPr>
          <w:rFonts w:eastAsia="Calibri"/>
          <w:b w:val="0"/>
          <w:color w:val="000000"/>
          <w:szCs w:val="22"/>
        </w:rPr>
        <w:t xml:space="preserve">ust not travel </w:t>
      </w:r>
      <w:r>
        <w:rPr>
          <w:rFonts w:eastAsia="Calibri"/>
          <w:b w:val="0"/>
          <w:color w:val="000000"/>
          <w:szCs w:val="22"/>
        </w:rPr>
        <w:t>more than</w:t>
      </w:r>
      <w:r w:rsidR="00D12652" w:rsidRPr="00A11E55">
        <w:rPr>
          <w:rFonts w:eastAsia="Calibri"/>
          <w:b w:val="0"/>
          <w:color w:val="000000"/>
          <w:szCs w:val="22"/>
        </w:rPr>
        <w:t xml:space="preserve"> 10 km/h. </w:t>
      </w:r>
    </w:p>
    <w:p w:rsidR="00D12652" w:rsidRPr="00D12652" w:rsidRDefault="00D12652" w:rsidP="00D12652">
      <w:pPr>
        <w:pStyle w:val="BodyText"/>
      </w:pPr>
    </w:p>
    <w:sectPr w:rsidR="00D12652" w:rsidRPr="00D12652" w:rsidSect="00614688">
      <w:pgSz w:w="11906" w:h="16838" w:code="9"/>
      <w:pgMar w:top="1440" w:right="991" w:bottom="1440" w:left="709" w:header="708"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AAA" w:rsidRDefault="00120AAA" w:rsidP="00CE01B4">
      <w:pPr>
        <w:spacing w:after="0"/>
      </w:pPr>
      <w:r>
        <w:separator/>
      </w:r>
    </w:p>
  </w:endnote>
  <w:endnote w:type="continuationSeparator" w:id="0">
    <w:p w:rsidR="00120AAA" w:rsidRDefault="00120AAA" w:rsidP="00CE01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National 2">
    <w:altName w:val="Cambria"/>
    <w:panose1 w:val="020B0504030502020203"/>
    <w:charset w:val="00"/>
    <w:family w:val="swiss"/>
    <w:notTrueType/>
    <w:pitch w:val="variable"/>
    <w:sig w:usb0="00000007" w:usb1="00000001" w:usb2="00000000" w:usb3="00000000" w:csb0="00000093"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5512423"/>
      <w:docPartObj>
        <w:docPartGallery w:val="Page Numbers (Bottom of Page)"/>
        <w:docPartUnique/>
      </w:docPartObj>
    </w:sdtPr>
    <w:sdtEndPr>
      <w:rPr>
        <w:noProof/>
      </w:rPr>
    </w:sdtEndPr>
    <w:sdtContent>
      <w:p w:rsidR="00444C6F" w:rsidRDefault="00444C6F" w:rsidP="00643BB4">
        <w:pPr>
          <w:pStyle w:val="Footer"/>
          <w:jc w:val="right"/>
        </w:pPr>
        <w:r w:rsidRPr="00CE01B4">
          <w:rPr>
            <w:rFonts w:ascii="Calibri" w:hAnsi="Calibri" w:cs="Calibri"/>
            <w:sz w:val="20"/>
            <w:szCs w:val="20"/>
          </w:rPr>
          <w:fldChar w:fldCharType="begin"/>
        </w:r>
        <w:r w:rsidRPr="00CE01B4">
          <w:rPr>
            <w:rFonts w:ascii="Calibri" w:hAnsi="Calibri" w:cs="Calibri"/>
            <w:sz w:val="20"/>
            <w:szCs w:val="20"/>
          </w:rPr>
          <w:instrText xml:space="preserve"> PAGE   \* MERGEFORMAT </w:instrText>
        </w:r>
        <w:r w:rsidRPr="00CE01B4">
          <w:rPr>
            <w:rFonts w:ascii="Calibri" w:hAnsi="Calibri" w:cs="Calibri"/>
            <w:sz w:val="20"/>
            <w:szCs w:val="20"/>
          </w:rPr>
          <w:fldChar w:fldCharType="separate"/>
        </w:r>
        <w:r w:rsidR="00C85A31">
          <w:rPr>
            <w:rFonts w:ascii="Calibri" w:hAnsi="Calibri" w:cs="Calibri"/>
            <w:noProof/>
            <w:sz w:val="20"/>
            <w:szCs w:val="20"/>
          </w:rPr>
          <w:t>3</w:t>
        </w:r>
        <w:r w:rsidRPr="00CE01B4">
          <w:rPr>
            <w:rFonts w:ascii="Calibri" w:hAnsi="Calibri" w:cs="Calibri"/>
            <w:noProof/>
            <w:sz w:val="20"/>
            <w:szCs w:val="20"/>
          </w:rPr>
          <w:fldChar w:fldCharType="end"/>
        </w:r>
      </w:p>
    </w:sdtContent>
  </w:sdt>
  <w:p w:rsidR="00835ABF" w:rsidRDefault="00444C6F">
    <w:pPr>
      <w:pStyle w:val="Footer"/>
      <w:rPr>
        <w:rFonts w:ascii="National 2" w:hAnsi="National 2" w:cs="Calibri"/>
        <w:i/>
        <w:sz w:val="20"/>
        <w:szCs w:val="20"/>
      </w:rPr>
    </w:pPr>
    <w:r w:rsidRPr="00835ABF">
      <w:rPr>
        <w:rFonts w:ascii="National 2" w:hAnsi="National 2" w:cs="Calibri"/>
        <w:i/>
        <w:sz w:val="20"/>
        <w:szCs w:val="20"/>
      </w:rPr>
      <w:t xml:space="preserve">RAA </w:t>
    </w:r>
    <w:r w:rsidR="0086043B" w:rsidRPr="00835ABF">
      <w:rPr>
        <w:rFonts w:ascii="National 2" w:hAnsi="National 2" w:cs="Calibri"/>
        <w:i/>
        <w:sz w:val="20"/>
        <w:szCs w:val="20"/>
      </w:rPr>
      <w:t>Submission to</w:t>
    </w:r>
    <w:r w:rsidR="00835ABF" w:rsidRPr="00835ABF">
      <w:rPr>
        <w:rFonts w:ascii="National 2" w:hAnsi="National 2" w:cs="Calibri"/>
        <w:i/>
        <w:sz w:val="20"/>
        <w:szCs w:val="20"/>
      </w:rPr>
      <w:t xml:space="preserve"> National Transport Commission </w:t>
    </w:r>
    <w:r w:rsidR="00835ABF">
      <w:rPr>
        <w:rFonts w:ascii="National 2" w:hAnsi="National 2" w:cs="Calibri"/>
        <w:i/>
        <w:sz w:val="20"/>
        <w:szCs w:val="20"/>
      </w:rPr>
      <w:t xml:space="preserve">- </w:t>
    </w:r>
    <w:r w:rsidR="00835ABF" w:rsidRPr="00835ABF">
      <w:rPr>
        <w:rFonts w:ascii="National 2" w:hAnsi="National 2" w:cs="Calibri"/>
        <w:i/>
        <w:sz w:val="20"/>
        <w:szCs w:val="20"/>
      </w:rPr>
      <w:t xml:space="preserve">Motorised Mobility Devices Discussion Paper </w:t>
    </w:r>
  </w:p>
  <w:p w:rsidR="00444C6F" w:rsidRPr="00835ABF" w:rsidRDefault="00835ABF">
    <w:pPr>
      <w:pStyle w:val="Footer"/>
      <w:rPr>
        <w:rFonts w:ascii="National 2" w:hAnsi="National 2" w:cs="Calibri"/>
        <w:i/>
        <w:sz w:val="20"/>
        <w:szCs w:val="20"/>
      </w:rPr>
    </w:pPr>
    <w:r w:rsidRPr="00835ABF">
      <w:rPr>
        <w:rFonts w:ascii="National 2" w:hAnsi="National 2" w:cs="Calibri"/>
        <w:i/>
        <w:sz w:val="20"/>
        <w:szCs w:val="20"/>
      </w:rPr>
      <w:t>December</w:t>
    </w:r>
    <w:r w:rsidR="00997FCC" w:rsidRPr="00835ABF">
      <w:rPr>
        <w:rFonts w:ascii="National 2" w:hAnsi="National 2" w:cs="Calibri"/>
        <w:i/>
        <w:sz w:val="20"/>
        <w:szCs w:val="20"/>
      </w:rPr>
      <w:t xml:space="preserve">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AAA" w:rsidRDefault="00120AAA" w:rsidP="00CE01B4">
      <w:pPr>
        <w:spacing w:after="0"/>
      </w:pPr>
      <w:r>
        <w:separator/>
      </w:r>
    </w:p>
  </w:footnote>
  <w:footnote w:type="continuationSeparator" w:id="0">
    <w:p w:rsidR="00120AAA" w:rsidRDefault="00120AAA" w:rsidP="00CE01B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647EA"/>
    <w:multiLevelType w:val="hybridMultilevel"/>
    <w:tmpl w:val="31AC14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E04E6F"/>
    <w:multiLevelType w:val="hybridMultilevel"/>
    <w:tmpl w:val="7B0C1B7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D20596"/>
    <w:multiLevelType w:val="hybridMultilevel"/>
    <w:tmpl w:val="402C3AEA"/>
    <w:lvl w:ilvl="0" w:tplc="0C09000B">
      <w:start w:val="1"/>
      <w:numFmt w:val="bullet"/>
      <w:lvlText w:val=""/>
      <w:lvlJc w:val="left"/>
      <w:pPr>
        <w:ind w:left="1080" w:hanging="360"/>
      </w:pPr>
      <w:rPr>
        <w:rFonts w:ascii="Wingdings" w:hAnsi="Wingdings"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66D7F79"/>
    <w:multiLevelType w:val="hybridMultilevel"/>
    <w:tmpl w:val="2AE28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0342FD"/>
    <w:multiLevelType w:val="hybridMultilevel"/>
    <w:tmpl w:val="34E24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994443"/>
    <w:multiLevelType w:val="hybridMultilevel"/>
    <w:tmpl w:val="690A07BC"/>
    <w:lvl w:ilvl="0" w:tplc="0C09000B">
      <w:start w:val="1"/>
      <w:numFmt w:val="bullet"/>
      <w:lvlText w:val=""/>
      <w:lvlJc w:val="left"/>
      <w:pPr>
        <w:ind w:left="1080" w:hanging="360"/>
      </w:pPr>
      <w:rPr>
        <w:rFonts w:ascii="Wingdings" w:hAnsi="Wingdings"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28F336AF"/>
    <w:multiLevelType w:val="hybridMultilevel"/>
    <w:tmpl w:val="416C5C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A8A2FC8"/>
    <w:multiLevelType w:val="hybridMultilevel"/>
    <w:tmpl w:val="829C05C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76534D"/>
    <w:multiLevelType w:val="hybridMultilevel"/>
    <w:tmpl w:val="0B5C08C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E773C0A"/>
    <w:multiLevelType w:val="hybridMultilevel"/>
    <w:tmpl w:val="F7AE80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6E41A6"/>
    <w:multiLevelType w:val="hybridMultilevel"/>
    <w:tmpl w:val="589CCF6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94E254A"/>
    <w:multiLevelType w:val="hybridMultilevel"/>
    <w:tmpl w:val="6A443A9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395947CF"/>
    <w:multiLevelType w:val="hybridMultilevel"/>
    <w:tmpl w:val="3BFEC7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A0D3E25"/>
    <w:multiLevelType w:val="hybridMultilevel"/>
    <w:tmpl w:val="99AE4A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F444D2"/>
    <w:multiLevelType w:val="hybridMultilevel"/>
    <w:tmpl w:val="D2DE3F10"/>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C264EBF"/>
    <w:multiLevelType w:val="hybridMultilevel"/>
    <w:tmpl w:val="77102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411649"/>
    <w:multiLevelType w:val="multilevel"/>
    <w:tmpl w:val="5DE205A6"/>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1342C10"/>
    <w:multiLevelType w:val="hybridMultilevel"/>
    <w:tmpl w:val="24A89B2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8" w15:restartNumberingAfterBreak="0">
    <w:nsid w:val="43C639F9"/>
    <w:multiLevelType w:val="hybridMultilevel"/>
    <w:tmpl w:val="DCAEA1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6711624"/>
    <w:multiLevelType w:val="hybridMultilevel"/>
    <w:tmpl w:val="DACA35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DB8444E"/>
    <w:multiLevelType w:val="hybridMultilevel"/>
    <w:tmpl w:val="2D8A66D2"/>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EB068FD"/>
    <w:multiLevelType w:val="hybridMultilevel"/>
    <w:tmpl w:val="ED34A7D8"/>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50C670AD"/>
    <w:multiLevelType w:val="hybridMultilevel"/>
    <w:tmpl w:val="D064031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D8290F"/>
    <w:multiLevelType w:val="hybridMultilevel"/>
    <w:tmpl w:val="3C1088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E424CF4"/>
    <w:multiLevelType w:val="hybridMultilevel"/>
    <w:tmpl w:val="F5847E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27B4229"/>
    <w:multiLevelType w:val="hybridMultilevel"/>
    <w:tmpl w:val="E594E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25573F"/>
    <w:multiLevelType w:val="hybridMultilevel"/>
    <w:tmpl w:val="DBB2E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4C65734"/>
    <w:multiLevelType w:val="hybridMultilevel"/>
    <w:tmpl w:val="B924385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6501170F"/>
    <w:multiLevelType w:val="hybridMultilevel"/>
    <w:tmpl w:val="ACA606FC"/>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6D42180"/>
    <w:multiLevelType w:val="hybridMultilevel"/>
    <w:tmpl w:val="ACD86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5675EC"/>
    <w:multiLevelType w:val="hybridMultilevel"/>
    <w:tmpl w:val="FE2218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2DF3196"/>
    <w:multiLevelType w:val="hybridMultilevel"/>
    <w:tmpl w:val="AB6AA1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E78109D"/>
    <w:multiLevelType w:val="hybridMultilevel"/>
    <w:tmpl w:val="18F4C48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30"/>
  </w:num>
  <w:num w:numId="3">
    <w:abstractNumId w:val="11"/>
  </w:num>
  <w:num w:numId="4">
    <w:abstractNumId w:val="27"/>
  </w:num>
  <w:num w:numId="5">
    <w:abstractNumId w:val="5"/>
  </w:num>
  <w:num w:numId="6">
    <w:abstractNumId w:val="21"/>
  </w:num>
  <w:num w:numId="7">
    <w:abstractNumId w:val="2"/>
  </w:num>
  <w:num w:numId="8">
    <w:abstractNumId w:val="12"/>
  </w:num>
  <w:num w:numId="9">
    <w:abstractNumId w:val="23"/>
  </w:num>
  <w:num w:numId="10">
    <w:abstractNumId w:val="1"/>
  </w:num>
  <w:num w:numId="11">
    <w:abstractNumId w:val="18"/>
  </w:num>
  <w:num w:numId="12">
    <w:abstractNumId w:val="32"/>
  </w:num>
  <w:num w:numId="13">
    <w:abstractNumId w:val="8"/>
  </w:num>
  <w:num w:numId="14">
    <w:abstractNumId w:val="19"/>
  </w:num>
  <w:num w:numId="15">
    <w:abstractNumId w:val="20"/>
  </w:num>
  <w:num w:numId="16">
    <w:abstractNumId w:val="22"/>
  </w:num>
  <w:num w:numId="17">
    <w:abstractNumId w:val="7"/>
  </w:num>
  <w:num w:numId="18">
    <w:abstractNumId w:val="0"/>
  </w:num>
  <w:num w:numId="19">
    <w:abstractNumId w:val="15"/>
  </w:num>
  <w:num w:numId="20">
    <w:abstractNumId w:val="13"/>
  </w:num>
  <w:num w:numId="21">
    <w:abstractNumId w:val="29"/>
  </w:num>
  <w:num w:numId="22">
    <w:abstractNumId w:val="3"/>
  </w:num>
  <w:num w:numId="23">
    <w:abstractNumId w:val="4"/>
  </w:num>
  <w:num w:numId="24">
    <w:abstractNumId w:val="25"/>
  </w:num>
  <w:num w:numId="25">
    <w:abstractNumId w:val="28"/>
  </w:num>
  <w:num w:numId="26">
    <w:abstractNumId w:val="9"/>
  </w:num>
  <w:num w:numId="27">
    <w:abstractNumId w:val="17"/>
  </w:num>
  <w:num w:numId="28">
    <w:abstractNumId w:val="26"/>
  </w:num>
  <w:num w:numId="29">
    <w:abstractNumId w:val="24"/>
  </w:num>
  <w:num w:numId="30">
    <w:abstractNumId w:val="16"/>
  </w:num>
  <w:num w:numId="31">
    <w:abstractNumId w:val="31"/>
  </w:num>
  <w:num w:numId="32">
    <w:abstractNumId w:val="10"/>
  </w:num>
  <w:num w:numId="33">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8ED"/>
    <w:rsid w:val="00001CF4"/>
    <w:rsid w:val="00001E9B"/>
    <w:rsid w:val="00020B48"/>
    <w:rsid w:val="00023280"/>
    <w:rsid w:val="00024D21"/>
    <w:rsid w:val="000264FE"/>
    <w:rsid w:val="000302F1"/>
    <w:rsid w:val="0003119C"/>
    <w:rsid w:val="00032254"/>
    <w:rsid w:val="000342FA"/>
    <w:rsid w:val="00050273"/>
    <w:rsid w:val="0006154C"/>
    <w:rsid w:val="00064E53"/>
    <w:rsid w:val="00065F0F"/>
    <w:rsid w:val="00067B54"/>
    <w:rsid w:val="00082FEB"/>
    <w:rsid w:val="00083B03"/>
    <w:rsid w:val="000C4C74"/>
    <w:rsid w:val="000C5886"/>
    <w:rsid w:val="000D2F5A"/>
    <w:rsid w:val="000D65D8"/>
    <w:rsid w:val="000E0EA3"/>
    <w:rsid w:val="000E22F5"/>
    <w:rsid w:val="000E2E24"/>
    <w:rsid w:val="000E7240"/>
    <w:rsid w:val="000E7564"/>
    <w:rsid w:val="000F0F49"/>
    <w:rsid w:val="0010061D"/>
    <w:rsid w:val="00104995"/>
    <w:rsid w:val="00113C2B"/>
    <w:rsid w:val="00115220"/>
    <w:rsid w:val="0011780F"/>
    <w:rsid w:val="00120AAA"/>
    <w:rsid w:val="0012196C"/>
    <w:rsid w:val="00134E0F"/>
    <w:rsid w:val="00140FA7"/>
    <w:rsid w:val="0014446A"/>
    <w:rsid w:val="001465DC"/>
    <w:rsid w:val="0015048F"/>
    <w:rsid w:val="00150A48"/>
    <w:rsid w:val="0015416E"/>
    <w:rsid w:val="00155836"/>
    <w:rsid w:val="0015608A"/>
    <w:rsid w:val="001651CF"/>
    <w:rsid w:val="00172396"/>
    <w:rsid w:val="00176C09"/>
    <w:rsid w:val="00180381"/>
    <w:rsid w:val="0018267D"/>
    <w:rsid w:val="0019102E"/>
    <w:rsid w:val="00193B92"/>
    <w:rsid w:val="001941E9"/>
    <w:rsid w:val="001971F5"/>
    <w:rsid w:val="001A09FF"/>
    <w:rsid w:val="001A102C"/>
    <w:rsid w:val="001A6FCC"/>
    <w:rsid w:val="001C4A63"/>
    <w:rsid w:val="001C4C2B"/>
    <w:rsid w:val="001C4FB0"/>
    <w:rsid w:val="001E04E7"/>
    <w:rsid w:val="001E2806"/>
    <w:rsid w:val="001E2FC6"/>
    <w:rsid w:val="001F5794"/>
    <w:rsid w:val="001F65AE"/>
    <w:rsid w:val="001F7277"/>
    <w:rsid w:val="00217588"/>
    <w:rsid w:val="00221221"/>
    <w:rsid w:val="00232655"/>
    <w:rsid w:val="002431B0"/>
    <w:rsid w:val="0024427A"/>
    <w:rsid w:val="00254077"/>
    <w:rsid w:val="002655BA"/>
    <w:rsid w:val="00266612"/>
    <w:rsid w:val="0027212A"/>
    <w:rsid w:val="002740E7"/>
    <w:rsid w:val="00275D99"/>
    <w:rsid w:val="00281261"/>
    <w:rsid w:val="002825C3"/>
    <w:rsid w:val="00282CAA"/>
    <w:rsid w:val="00290EA1"/>
    <w:rsid w:val="00295304"/>
    <w:rsid w:val="00297DBF"/>
    <w:rsid w:val="002A773F"/>
    <w:rsid w:val="002A7A1F"/>
    <w:rsid w:val="002C2414"/>
    <w:rsid w:val="002C3DA1"/>
    <w:rsid w:val="002C484C"/>
    <w:rsid w:val="002D255F"/>
    <w:rsid w:val="002D572F"/>
    <w:rsid w:val="002D65B9"/>
    <w:rsid w:val="002E762F"/>
    <w:rsid w:val="002F294B"/>
    <w:rsid w:val="0030038A"/>
    <w:rsid w:val="0030129A"/>
    <w:rsid w:val="00302625"/>
    <w:rsid w:val="00302D70"/>
    <w:rsid w:val="003032CA"/>
    <w:rsid w:val="00305005"/>
    <w:rsid w:val="0030679D"/>
    <w:rsid w:val="0031121E"/>
    <w:rsid w:val="003124A4"/>
    <w:rsid w:val="00314473"/>
    <w:rsid w:val="00314E0B"/>
    <w:rsid w:val="00316C15"/>
    <w:rsid w:val="0033370C"/>
    <w:rsid w:val="003400C5"/>
    <w:rsid w:val="0034122E"/>
    <w:rsid w:val="00347CD7"/>
    <w:rsid w:val="00351E2E"/>
    <w:rsid w:val="00355DCC"/>
    <w:rsid w:val="00362AF8"/>
    <w:rsid w:val="00372EBA"/>
    <w:rsid w:val="003746FC"/>
    <w:rsid w:val="003752AA"/>
    <w:rsid w:val="003767B5"/>
    <w:rsid w:val="00382020"/>
    <w:rsid w:val="00384740"/>
    <w:rsid w:val="003864B9"/>
    <w:rsid w:val="0039027E"/>
    <w:rsid w:val="003943FB"/>
    <w:rsid w:val="00397AF5"/>
    <w:rsid w:val="003A2F4F"/>
    <w:rsid w:val="003B0438"/>
    <w:rsid w:val="003B1BE6"/>
    <w:rsid w:val="003B3FE5"/>
    <w:rsid w:val="003B6DD3"/>
    <w:rsid w:val="003C2188"/>
    <w:rsid w:val="003C5B3D"/>
    <w:rsid w:val="003C7EF0"/>
    <w:rsid w:val="003E5DAB"/>
    <w:rsid w:val="003F0359"/>
    <w:rsid w:val="00403D8B"/>
    <w:rsid w:val="00404C6C"/>
    <w:rsid w:val="0040765B"/>
    <w:rsid w:val="004101B4"/>
    <w:rsid w:val="0041186B"/>
    <w:rsid w:val="004120B0"/>
    <w:rsid w:val="00414FC9"/>
    <w:rsid w:val="00415B7E"/>
    <w:rsid w:val="004173AC"/>
    <w:rsid w:val="00420F01"/>
    <w:rsid w:val="00422CD7"/>
    <w:rsid w:val="0042761C"/>
    <w:rsid w:val="00431660"/>
    <w:rsid w:val="00431DF5"/>
    <w:rsid w:val="00431EE2"/>
    <w:rsid w:val="004366B2"/>
    <w:rsid w:val="00444184"/>
    <w:rsid w:val="00444C6F"/>
    <w:rsid w:val="00444DC0"/>
    <w:rsid w:val="004455F1"/>
    <w:rsid w:val="00450183"/>
    <w:rsid w:val="00452EED"/>
    <w:rsid w:val="00455799"/>
    <w:rsid w:val="00456CE5"/>
    <w:rsid w:val="00460913"/>
    <w:rsid w:val="00461F92"/>
    <w:rsid w:val="00490950"/>
    <w:rsid w:val="004A06F9"/>
    <w:rsid w:val="004B020D"/>
    <w:rsid w:val="004B18B4"/>
    <w:rsid w:val="004C12F0"/>
    <w:rsid w:val="004C5134"/>
    <w:rsid w:val="004D02EC"/>
    <w:rsid w:val="004D3DC7"/>
    <w:rsid w:val="004E4CE8"/>
    <w:rsid w:val="004E545D"/>
    <w:rsid w:val="004E6071"/>
    <w:rsid w:val="004F4FF0"/>
    <w:rsid w:val="004F6035"/>
    <w:rsid w:val="004F7419"/>
    <w:rsid w:val="005038DF"/>
    <w:rsid w:val="00503DE7"/>
    <w:rsid w:val="005126D8"/>
    <w:rsid w:val="0051578A"/>
    <w:rsid w:val="00515800"/>
    <w:rsid w:val="00516155"/>
    <w:rsid w:val="005274E6"/>
    <w:rsid w:val="00527A8A"/>
    <w:rsid w:val="00530FF0"/>
    <w:rsid w:val="0053194A"/>
    <w:rsid w:val="005328DD"/>
    <w:rsid w:val="00534E0B"/>
    <w:rsid w:val="0054047C"/>
    <w:rsid w:val="00543051"/>
    <w:rsid w:val="00546AB8"/>
    <w:rsid w:val="00547F5C"/>
    <w:rsid w:val="005507AE"/>
    <w:rsid w:val="00551939"/>
    <w:rsid w:val="00563FC1"/>
    <w:rsid w:val="005642E4"/>
    <w:rsid w:val="005677CE"/>
    <w:rsid w:val="00572A0D"/>
    <w:rsid w:val="00580C7B"/>
    <w:rsid w:val="0058319A"/>
    <w:rsid w:val="005833AD"/>
    <w:rsid w:val="00593324"/>
    <w:rsid w:val="00594849"/>
    <w:rsid w:val="005957DB"/>
    <w:rsid w:val="005A23D3"/>
    <w:rsid w:val="005A38F1"/>
    <w:rsid w:val="005C03EB"/>
    <w:rsid w:val="005C54C8"/>
    <w:rsid w:val="005D209A"/>
    <w:rsid w:val="005D2871"/>
    <w:rsid w:val="005D2AD3"/>
    <w:rsid w:val="005D3ABE"/>
    <w:rsid w:val="005D67F6"/>
    <w:rsid w:val="005E02C2"/>
    <w:rsid w:val="005E111E"/>
    <w:rsid w:val="005E6951"/>
    <w:rsid w:val="005F0804"/>
    <w:rsid w:val="005F7C9B"/>
    <w:rsid w:val="00600BD6"/>
    <w:rsid w:val="00604EAF"/>
    <w:rsid w:val="00613D37"/>
    <w:rsid w:val="00614688"/>
    <w:rsid w:val="00614A32"/>
    <w:rsid w:val="006157DA"/>
    <w:rsid w:val="00623EF8"/>
    <w:rsid w:val="00625522"/>
    <w:rsid w:val="00631292"/>
    <w:rsid w:val="00633891"/>
    <w:rsid w:val="00636F30"/>
    <w:rsid w:val="006370BB"/>
    <w:rsid w:val="006426F4"/>
    <w:rsid w:val="00643BB4"/>
    <w:rsid w:val="00643E16"/>
    <w:rsid w:val="00646F4E"/>
    <w:rsid w:val="006510D6"/>
    <w:rsid w:val="00651C31"/>
    <w:rsid w:val="00653ECB"/>
    <w:rsid w:val="0066790B"/>
    <w:rsid w:val="006701D7"/>
    <w:rsid w:val="00670C6E"/>
    <w:rsid w:val="006740F7"/>
    <w:rsid w:val="006779C2"/>
    <w:rsid w:val="00686BA2"/>
    <w:rsid w:val="006931DA"/>
    <w:rsid w:val="00694933"/>
    <w:rsid w:val="00694CD9"/>
    <w:rsid w:val="00694DD7"/>
    <w:rsid w:val="00695858"/>
    <w:rsid w:val="00697A54"/>
    <w:rsid w:val="006A1C99"/>
    <w:rsid w:val="006B1B67"/>
    <w:rsid w:val="006B21A6"/>
    <w:rsid w:val="006B3DD5"/>
    <w:rsid w:val="006B4220"/>
    <w:rsid w:val="006B4B07"/>
    <w:rsid w:val="006B71D7"/>
    <w:rsid w:val="006C2F92"/>
    <w:rsid w:val="006C5C74"/>
    <w:rsid w:val="006C75C3"/>
    <w:rsid w:val="006D0402"/>
    <w:rsid w:val="006D6652"/>
    <w:rsid w:val="00700EFF"/>
    <w:rsid w:val="007011C6"/>
    <w:rsid w:val="00702E9C"/>
    <w:rsid w:val="00713C47"/>
    <w:rsid w:val="0072138C"/>
    <w:rsid w:val="00723CB5"/>
    <w:rsid w:val="00741E4D"/>
    <w:rsid w:val="007425DA"/>
    <w:rsid w:val="0074657A"/>
    <w:rsid w:val="007465E8"/>
    <w:rsid w:val="00746C79"/>
    <w:rsid w:val="007471AE"/>
    <w:rsid w:val="00765D05"/>
    <w:rsid w:val="0077574E"/>
    <w:rsid w:val="00780AC3"/>
    <w:rsid w:val="00781DB4"/>
    <w:rsid w:val="00782B4F"/>
    <w:rsid w:val="007866C2"/>
    <w:rsid w:val="007A1328"/>
    <w:rsid w:val="007A1A2D"/>
    <w:rsid w:val="007A3C74"/>
    <w:rsid w:val="007A5BBF"/>
    <w:rsid w:val="007B06E8"/>
    <w:rsid w:val="007B13EF"/>
    <w:rsid w:val="007C1A0B"/>
    <w:rsid w:val="007C6E06"/>
    <w:rsid w:val="007E371A"/>
    <w:rsid w:val="007E3E66"/>
    <w:rsid w:val="007E6EEB"/>
    <w:rsid w:val="007F0978"/>
    <w:rsid w:val="007F3DFE"/>
    <w:rsid w:val="007F79D2"/>
    <w:rsid w:val="00804EEA"/>
    <w:rsid w:val="00805DBF"/>
    <w:rsid w:val="00813C14"/>
    <w:rsid w:val="00821D4A"/>
    <w:rsid w:val="008304E1"/>
    <w:rsid w:val="00830EE3"/>
    <w:rsid w:val="00835ABF"/>
    <w:rsid w:val="00836A3B"/>
    <w:rsid w:val="00837630"/>
    <w:rsid w:val="008404BC"/>
    <w:rsid w:val="0084295B"/>
    <w:rsid w:val="00844A0F"/>
    <w:rsid w:val="0085622A"/>
    <w:rsid w:val="0086043B"/>
    <w:rsid w:val="00861213"/>
    <w:rsid w:val="00861708"/>
    <w:rsid w:val="0086177A"/>
    <w:rsid w:val="00861B61"/>
    <w:rsid w:val="0086454E"/>
    <w:rsid w:val="00876BD0"/>
    <w:rsid w:val="0088423C"/>
    <w:rsid w:val="008843E3"/>
    <w:rsid w:val="00892868"/>
    <w:rsid w:val="008B21D3"/>
    <w:rsid w:val="008B2366"/>
    <w:rsid w:val="008B3697"/>
    <w:rsid w:val="008B65E7"/>
    <w:rsid w:val="008C076D"/>
    <w:rsid w:val="008C3793"/>
    <w:rsid w:val="008C66E2"/>
    <w:rsid w:val="008C77AD"/>
    <w:rsid w:val="008C7893"/>
    <w:rsid w:val="008D4588"/>
    <w:rsid w:val="008E325D"/>
    <w:rsid w:val="008E3FE9"/>
    <w:rsid w:val="008E69AB"/>
    <w:rsid w:val="008E6C7F"/>
    <w:rsid w:val="008F06FA"/>
    <w:rsid w:val="008F1203"/>
    <w:rsid w:val="008F5B39"/>
    <w:rsid w:val="008F71CE"/>
    <w:rsid w:val="00903C83"/>
    <w:rsid w:val="00905974"/>
    <w:rsid w:val="00906B96"/>
    <w:rsid w:val="0091079D"/>
    <w:rsid w:val="00913603"/>
    <w:rsid w:val="00913EB8"/>
    <w:rsid w:val="0093121C"/>
    <w:rsid w:val="00946E48"/>
    <w:rsid w:val="00951884"/>
    <w:rsid w:val="00957759"/>
    <w:rsid w:val="00957914"/>
    <w:rsid w:val="0096301B"/>
    <w:rsid w:val="009706A4"/>
    <w:rsid w:val="00972DA8"/>
    <w:rsid w:val="00972F4F"/>
    <w:rsid w:val="0098591F"/>
    <w:rsid w:val="00997FCC"/>
    <w:rsid w:val="009B3170"/>
    <w:rsid w:val="009C2BFE"/>
    <w:rsid w:val="009D0F0C"/>
    <w:rsid w:val="009E2057"/>
    <w:rsid w:val="009E5432"/>
    <w:rsid w:val="009F5201"/>
    <w:rsid w:val="009F5B33"/>
    <w:rsid w:val="00A01C4E"/>
    <w:rsid w:val="00A10B43"/>
    <w:rsid w:val="00A11E55"/>
    <w:rsid w:val="00A13EE5"/>
    <w:rsid w:val="00A20BB0"/>
    <w:rsid w:val="00A22917"/>
    <w:rsid w:val="00A23876"/>
    <w:rsid w:val="00A25FE6"/>
    <w:rsid w:val="00A31CED"/>
    <w:rsid w:val="00A3678C"/>
    <w:rsid w:val="00A410BC"/>
    <w:rsid w:val="00A42B25"/>
    <w:rsid w:val="00A50E44"/>
    <w:rsid w:val="00A52E10"/>
    <w:rsid w:val="00A54DB3"/>
    <w:rsid w:val="00A57F8B"/>
    <w:rsid w:val="00A609C9"/>
    <w:rsid w:val="00A60B5C"/>
    <w:rsid w:val="00A6715D"/>
    <w:rsid w:val="00A70F63"/>
    <w:rsid w:val="00A7326C"/>
    <w:rsid w:val="00A82E1C"/>
    <w:rsid w:val="00A82E8E"/>
    <w:rsid w:val="00A87A0F"/>
    <w:rsid w:val="00A9610B"/>
    <w:rsid w:val="00AA1B9A"/>
    <w:rsid w:val="00AA2396"/>
    <w:rsid w:val="00AA4C92"/>
    <w:rsid w:val="00AB706B"/>
    <w:rsid w:val="00AC3B43"/>
    <w:rsid w:val="00AC6667"/>
    <w:rsid w:val="00AD11F2"/>
    <w:rsid w:val="00AD6618"/>
    <w:rsid w:val="00AE2945"/>
    <w:rsid w:val="00AE6802"/>
    <w:rsid w:val="00AE7315"/>
    <w:rsid w:val="00AF37EE"/>
    <w:rsid w:val="00AF3E62"/>
    <w:rsid w:val="00B074C8"/>
    <w:rsid w:val="00B12731"/>
    <w:rsid w:val="00B21EA3"/>
    <w:rsid w:val="00B303F0"/>
    <w:rsid w:val="00B35B58"/>
    <w:rsid w:val="00B406F2"/>
    <w:rsid w:val="00B46216"/>
    <w:rsid w:val="00B46234"/>
    <w:rsid w:val="00B463AF"/>
    <w:rsid w:val="00B530DB"/>
    <w:rsid w:val="00B54F48"/>
    <w:rsid w:val="00B565F6"/>
    <w:rsid w:val="00B611DC"/>
    <w:rsid w:val="00B70293"/>
    <w:rsid w:val="00B71468"/>
    <w:rsid w:val="00B779C4"/>
    <w:rsid w:val="00B82903"/>
    <w:rsid w:val="00B829C0"/>
    <w:rsid w:val="00B96012"/>
    <w:rsid w:val="00BA2CDF"/>
    <w:rsid w:val="00BA6B58"/>
    <w:rsid w:val="00BB0B08"/>
    <w:rsid w:val="00BB1215"/>
    <w:rsid w:val="00BB6867"/>
    <w:rsid w:val="00BB7903"/>
    <w:rsid w:val="00BC208E"/>
    <w:rsid w:val="00BD039F"/>
    <w:rsid w:val="00BD0F97"/>
    <w:rsid w:val="00BE3F6D"/>
    <w:rsid w:val="00BE6EC5"/>
    <w:rsid w:val="00BF46A6"/>
    <w:rsid w:val="00BF7654"/>
    <w:rsid w:val="00C02682"/>
    <w:rsid w:val="00C0447C"/>
    <w:rsid w:val="00C064CA"/>
    <w:rsid w:val="00C07010"/>
    <w:rsid w:val="00C165B5"/>
    <w:rsid w:val="00C17EF8"/>
    <w:rsid w:val="00C30F71"/>
    <w:rsid w:val="00C32832"/>
    <w:rsid w:val="00C41694"/>
    <w:rsid w:val="00C45B58"/>
    <w:rsid w:val="00C5125E"/>
    <w:rsid w:val="00C53C19"/>
    <w:rsid w:val="00C5446F"/>
    <w:rsid w:val="00C570C9"/>
    <w:rsid w:val="00C57C1D"/>
    <w:rsid w:val="00C60BD6"/>
    <w:rsid w:val="00C62540"/>
    <w:rsid w:val="00C63931"/>
    <w:rsid w:val="00C6449E"/>
    <w:rsid w:val="00C718ED"/>
    <w:rsid w:val="00C7200F"/>
    <w:rsid w:val="00C72F80"/>
    <w:rsid w:val="00C740E1"/>
    <w:rsid w:val="00C74451"/>
    <w:rsid w:val="00C80520"/>
    <w:rsid w:val="00C85A31"/>
    <w:rsid w:val="00C91512"/>
    <w:rsid w:val="00C94C03"/>
    <w:rsid w:val="00C94D7B"/>
    <w:rsid w:val="00C9590F"/>
    <w:rsid w:val="00CA7148"/>
    <w:rsid w:val="00CB099D"/>
    <w:rsid w:val="00CC13FE"/>
    <w:rsid w:val="00CD1528"/>
    <w:rsid w:val="00CD1C7A"/>
    <w:rsid w:val="00CD30B1"/>
    <w:rsid w:val="00CD6578"/>
    <w:rsid w:val="00CE01B4"/>
    <w:rsid w:val="00CE2F9D"/>
    <w:rsid w:val="00CF2262"/>
    <w:rsid w:val="00CF2E07"/>
    <w:rsid w:val="00D01D6B"/>
    <w:rsid w:val="00D02C09"/>
    <w:rsid w:val="00D0793A"/>
    <w:rsid w:val="00D1257C"/>
    <w:rsid w:val="00D12652"/>
    <w:rsid w:val="00D21975"/>
    <w:rsid w:val="00D24823"/>
    <w:rsid w:val="00D271AD"/>
    <w:rsid w:val="00D33B41"/>
    <w:rsid w:val="00D40ACC"/>
    <w:rsid w:val="00D45D7A"/>
    <w:rsid w:val="00D578F3"/>
    <w:rsid w:val="00D6484A"/>
    <w:rsid w:val="00D65E55"/>
    <w:rsid w:val="00D82A73"/>
    <w:rsid w:val="00D85143"/>
    <w:rsid w:val="00D857C1"/>
    <w:rsid w:val="00DA20B4"/>
    <w:rsid w:val="00DA5629"/>
    <w:rsid w:val="00DA759B"/>
    <w:rsid w:val="00DB5EAB"/>
    <w:rsid w:val="00DC5EE1"/>
    <w:rsid w:val="00DD4702"/>
    <w:rsid w:val="00DE0C45"/>
    <w:rsid w:val="00DE649B"/>
    <w:rsid w:val="00DE7FB9"/>
    <w:rsid w:val="00DF3FD0"/>
    <w:rsid w:val="00DF72AB"/>
    <w:rsid w:val="00E00139"/>
    <w:rsid w:val="00E01EC8"/>
    <w:rsid w:val="00E03DA2"/>
    <w:rsid w:val="00E12376"/>
    <w:rsid w:val="00E12D88"/>
    <w:rsid w:val="00E14EB1"/>
    <w:rsid w:val="00E17CD1"/>
    <w:rsid w:val="00E21E88"/>
    <w:rsid w:val="00E22922"/>
    <w:rsid w:val="00E237E1"/>
    <w:rsid w:val="00E23812"/>
    <w:rsid w:val="00E23C18"/>
    <w:rsid w:val="00E33481"/>
    <w:rsid w:val="00E363BB"/>
    <w:rsid w:val="00E36765"/>
    <w:rsid w:val="00E36FE5"/>
    <w:rsid w:val="00E4258D"/>
    <w:rsid w:val="00E4384F"/>
    <w:rsid w:val="00E45AE0"/>
    <w:rsid w:val="00E476A2"/>
    <w:rsid w:val="00E575E6"/>
    <w:rsid w:val="00E60C49"/>
    <w:rsid w:val="00E71899"/>
    <w:rsid w:val="00E812BD"/>
    <w:rsid w:val="00E833D5"/>
    <w:rsid w:val="00E86373"/>
    <w:rsid w:val="00E90695"/>
    <w:rsid w:val="00E954E0"/>
    <w:rsid w:val="00E9562C"/>
    <w:rsid w:val="00E96B96"/>
    <w:rsid w:val="00EA38BD"/>
    <w:rsid w:val="00EB14C0"/>
    <w:rsid w:val="00EB1BE6"/>
    <w:rsid w:val="00ED1805"/>
    <w:rsid w:val="00ED18EA"/>
    <w:rsid w:val="00ED2617"/>
    <w:rsid w:val="00ED47C7"/>
    <w:rsid w:val="00ED5387"/>
    <w:rsid w:val="00EE413C"/>
    <w:rsid w:val="00EF5633"/>
    <w:rsid w:val="00EF577D"/>
    <w:rsid w:val="00EF6219"/>
    <w:rsid w:val="00EF7C49"/>
    <w:rsid w:val="00F01CBC"/>
    <w:rsid w:val="00F02B18"/>
    <w:rsid w:val="00F03F56"/>
    <w:rsid w:val="00F04D22"/>
    <w:rsid w:val="00F07E11"/>
    <w:rsid w:val="00F117A0"/>
    <w:rsid w:val="00F13FFF"/>
    <w:rsid w:val="00F21721"/>
    <w:rsid w:val="00F40FD3"/>
    <w:rsid w:val="00F4646F"/>
    <w:rsid w:val="00F546A9"/>
    <w:rsid w:val="00F54933"/>
    <w:rsid w:val="00F56D1A"/>
    <w:rsid w:val="00F60752"/>
    <w:rsid w:val="00F64D8C"/>
    <w:rsid w:val="00F81F5C"/>
    <w:rsid w:val="00F8474B"/>
    <w:rsid w:val="00F8475F"/>
    <w:rsid w:val="00F87576"/>
    <w:rsid w:val="00F93DE3"/>
    <w:rsid w:val="00FA1E54"/>
    <w:rsid w:val="00FB1F74"/>
    <w:rsid w:val="00FB686D"/>
    <w:rsid w:val="00FB71DF"/>
    <w:rsid w:val="00FD5F18"/>
    <w:rsid w:val="00FD7E1B"/>
    <w:rsid w:val="00FE3F10"/>
    <w:rsid w:val="00FF3C57"/>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300"/>
  <w15:docId w15:val="{FC90AEE0-F461-4C0B-AAA2-CE0816E84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4EEA"/>
    <w:pPr>
      <w:spacing w:after="200"/>
    </w:pPr>
    <w:rPr>
      <w:sz w:val="24"/>
      <w:szCs w:val="24"/>
    </w:rPr>
  </w:style>
  <w:style w:type="paragraph" w:styleId="Heading3">
    <w:name w:val="heading 3"/>
    <w:basedOn w:val="Normal"/>
    <w:next w:val="Normal"/>
    <w:link w:val="Heading3Char"/>
    <w:uiPriority w:val="9"/>
    <w:semiHidden/>
    <w:unhideWhenUsed/>
    <w:qFormat/>
    <w:rsid w:val="00835ABF"/>
    <w:pPr>
      <w:keepNext/>
      <w:keepLines/>
      <w:spacing w:before="40" w:after="0"/>
      <w:outlineLvl w:val="2"/>
    </w:pPr>
    <w:rPr>
      <w:rFonts w:asciiTheme="majorHAnsi" w:eastAsiaTheme="majorEastAsia" w:hAnsiTheme="majorHAnsi" w:cstheme="majorBidi"/>
      <w:color w:val="243F60" w:themeColor="accent1" w:themeShade="7F"/>
    </w:rPr>
  </w:style>
  <w:style w:type="paragraph" w:styleId="Heading4">
    <w:name w:val="heading 4"/>
    <w:basedOn w:val="Heading3"/>
    <w:next w:val="BodyText"/>
    <w:link w:val="Heading4Char"/>
    <w:uiPriority w:val="9"/>
    <w:qFormat/>
    <w:rsid w:val="00835ABF"/>
    <w:pPr>
      <w:keepLines w:val="0"/>
      <w:numPr>
        <w:ilvl w:val="2"/>
      </w:numPr>
      <w:spacing w:before="120" w:after="120" w:line="260" w:lineRule="atLeast"/>
      <w:contextualSpacing/>
      <w:outlineLvl w:val="3"/>
    </w:pPr>
    <w:rPr>
      <w:rFonts w:ascii="National 2" w:eastAsia="Times New Roman" w:hAnsi="National 2" w:cs="Arial"/>
      <w:b/>
      <w:bCs/>
      <w:color w:val="000000" w:themeColor="text1"/>
      <w:sz w:val="22"/>
      <w:szCs w:val="2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061D"/>
    <w:rPr>
      <w:rFonts w:ascii="Times New Roman" w:hAnsi="Times New Roman"/>
    </w:rPr>
  </w:style>
  <w:style w:type="character" w:styleId="Hyperlink">
    <w:name w:val="Hyperlink"/>
    <w:basedOn w:val="DefaultParagraphFont"/>
    <w:uiPriority w:val="99"/>
    <w:unhideWhenUsed/>
    <w:rsid w:val="009706A4"/>
    <w:rPr>
      <w:color w:val="0000FF" w:themeColor="hyperlink"/>
      <w:u w:val="single"/>
    </w:rPr>
  </w:style>
  <w:style w:type="paragraph" w:styleId="BalloonText">
    <w:name w:val="Balloon Text"/>
    <w:basedOn w:val="Normal"/>
    <w:link w:val="BalloonTextChar"/>
    <w:uiPriority w:val="99"/>
    <w:semiHidden/>
    <w:unhideWhenUsed/>
    <w:rsid w:val="0003119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119C"/>
    <w:rPr>
      <w:rFonts w:ascii="Segoe UI" w:hAnsi="Segoe UI" w:cs="Segoe UI"/>
      <w:sz w:val="18"/>
      <w:szCs w:val="18"/>
    </w:rPr>
  </w:style>
  <w:style w:type="character" w:styleId="CommentReference">
    <w:name w:val="annotation reference"/>
    <w:basedOn w:val="DefaultParagraphFont"/>
    <w:uiPriority w:val="99"/>
    <w:semiHidden/>
    <w:unhideWhenUsed/>
    <w:rsid w:val="00D857C1"/>
    <w:rPr>
      <w:sz w:val="16"/>
      <w:szCs w:val="16"/>
    </w:rPr>
  </w:style>
  <w:style w:type="paragraph" w:styleId="CommentText">
    <w:name w:val="annotation text"/>
    <w:basedOn w:val="Normal"/>
    <w:link w:val="CommentTextChar"/>
    <w:uiPriority w:val="99"/>
    <w:semiHidden/>
    <w:unhideWhenUsed/>
    <w:rsid w:val="00D857C1"/>
    <w:rPr>
      <w:sz w:val="20"/>
      <w:szCs w:val="20"/>
    </w:rPr>
  </w:style>
  <w:style w:type="character" w:customStyle="1" w:styleId="CommentTextChar">
    <w:name w:val="Comment Text Char"/>
    <w:basedOn w:val="DefaultParagraphFont"/>
    <w:link w:val="CommentText"/>
    <w:uiPriority w:val="99"/>
    <w:semiHidden/>
    <w:rsid w:val="00D857C1"/>
  </w:style>
  <w:style w:type="paragraph" w:styleId="CommentSubject">
    <w:name w:val="annotation subject"/>
    <w:basedOn w:val="CommentText"/>
    <w:next w:val="CommentText"/>
    <w:link w:val="CommentSubjectChar"/>
    <w:uiPriority w:val="99"/>
    <w:semiHidden/>
    <w:unhideWhenUsed/>
    <w:rsid w:val="00D857C1"/>
    <w:rPr>
      <w:b/>
      <w:bCs/>
    </w:rPr>
  </w:style>
  <w:style w:type="character" w:customStyle="1" w:styleId="CommentSubjectChar">
    <w:name w:val="Comment Subject Char"/>
    <w:basedOn w:val="CommentTextChar"/>
    <w:link w:val="CommentSubject"/>
    <w:uiPriority w:val="99"/>
    <w:semiHidden/>
    <w:rsid w:val="00D857C1"/>
    <w:rPr>
      <w:b/>
      <w:bCs/>
    </w:rPr>
  </w:style>
  <w:style w:type="paragraph" w:styleId="Revision">
    <w:name w:val="Revision"/>
    <w:hidden/>
    <w:uiPriority w:val="99"/>
    <w:semiHidden/>
    <w:rsid w:val="002C2414"/>
    <w:rPr>
      <w:sz w:val="24"/>
      <w:szCs w:val="24"/>
    </w:rPr>
  </w:style>
  <w:style w:type="paragraph" w:styleId="ListParagraph">
    <w:name w:val="List Paragraph"/>
    <w:basedOn w:val="Normal"/>
    <w:uiPriority w:val="34"/>
    <w:qFormat/>
    <w:rsid w:val="00297DBF"/>
    <w:pPr>
      <w:ind w:left="720"/>
      <w:contextualSpacing/>
    </w:pPr>
  </w:style>
  <w:style w:type="table" w:customStyle="1" w:styleId="TableGrid1">
    <w:name w:val="Table Grid1"/>
    <w:basedOn w:val="TableNormal"/>
    <w:next w:val="TableGrid"/>
    <w:uiPriority w:val="39"/>
    <w:rsid w:val="0054047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404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01B4"/>
    <w:pPr>
      <w:tabs>
        <w:tab w:val="center" w:pos="4513"/>
        <w:tab w:val="right" w:pos="9026"/>
      </w:tabs>
      <w:spacing w:after="0"/>
    </w:pPr>
  </w:style>
  <w:style w:type="character" w:customStyle="1" w:styleId="HeaderChar">
    <w:name w:val="Header Char"/>
    <w:basedOn w:val="DefaultParagraphFont"/>
    <w:link w:val="Header"/>
    <w:uiPriority w:val="99"/>
    <w:rsid w:val="00CE01B4"/>
    <w:rPr>
      <w:sz w:val="24"/>
      <w:szCs w:val="24"/>
    </w:rPr>
  </w:style>
  <w:style w:type="paragraph" w:styleId="Footer">
    <w:name w:val="footer"/>
    <w:basedOn w:val="Normal"/>
    <w:link w:val="FooterChar"/>
    <w:uiPriority w:val="99"/>
    <w:unhideWhenUsed/>
    <w:rsid w:val="00CE01B4"/>
    <w:pPr>
      <w:tabs>
        <w:tab w:val="center" w:pos="4513"/>
        <w:tab w:val="right" w:pos="9026"/>
      </w:tabs>
      <w:spacing w:after="0"/>
    </w:pPr>
  </w:style>
  <w:style w:type="character" w:customStyle="1" w:styleId="FooterChar">
    <w:name w:val="Footer Char"/>
    <w:basedOn w:val="DefaultParagraphFont"/>
    <w:link w:val="Footer"/>
    <w:uiPriority w:val="99"/>
    <w:rsid w:val="00CE01B4"/>
    <w:rPr>
      <w:sz w:val="24"/>
      <w:szCs w:val="24"/>
    </w:rPr>
  </w:style>
  <w:style w:type="paragraph" w:styleId="BodyText">
    <w:name w:val="Body Text"/>
    <w:basedOn w:val="Normal"/>
    <w:link w:val="BodyTextChar"/>
    <w:uiPriority w:val="99"/>
    <w:unhideWhenUsed/>
    <w:rsid w:val="00444C6F"/>
    <w:pPr>
      <w:spacing w:after="160" w:line="259" w:lineRule="auto"/>
    </w:pPr>
    <w:rPr>
      <w:rFonts w:asciiTheme="minorHAnsi" w:eastAsiaTheme="minorHAnsi" w:hAnsiTheme="minorHAnsi" w:cstheme="minorBidi"/>
      <w:i/>
      <w:sz w:val="22"/>
      <w:szCs w:val="22"/>
    </w:rPr>
  </w:style>
  <w:style w:type="character" w:customStyle="1" w:styleId="BodyTextChar">
    <w:name w:val="Body Text Char"/>
    <w:basedOn w:val="DefaultParagraphFont"/>
    <w:link w:val="BodyText"/>
    <w:uiPriority w:val="99"/>
    <w:rsid w:val="00444C6F"/>
    <w:rPr>
      <w:rFonts w:asciiTheme="minorHAnsi" w:eastAsiaTheme="minorHAnsi" w:hAnsiTheme="minorHAnsi" w:cstheme="minorBidi"/>
      <w:i/>
      <w:sz w:val="22"/>
      <w:szCs w:val="22"/>
    </w:rPr>
  </w:style>
  <w:style w:type="table" w:customStyle="1" w:styleId="TableGrid2">
    <w:name w:val="Table Grid2"/>
    <w:basedOn w:val="TableNormal"/>
    <w:next w:val="TableGrid"/>
    <w:uiPriority w:val="59"/>
    <w:rsid w:val="00E0013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0013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13FFF"/>
    <w:pPr>
      <w:autoSpaceDE w:val="0"/>
      <w:autoSpaceDN w:val="0"/>
      <w:adjustRightInd w:val="0"/>
    </w:pPr>
    <w:rPr>
      <w:rFonts w:ascii="Calibri" w:hAnsi="Calibri" w:cs="Calibri"/>
      <w:color w:val="000000"/>
      <w:sz w:val="24"/>
      <w:szCs w:val="24"/>
    </w:rPr>
  </w:style>
  <w:style w:type="character" w:customStyle="1" w:styleId="Heading4Char">
    <w:name w:val="Heading 4 Char"/>
    <w:basedOn w:val="DefaultParagraphFont"/>
    <w:link w:val="Heading4"/>
    <w:uiPriority w:val="9"/>
    <w:rsid w:val="00835ABF"/>
    <w:rPr>
      <w:rFonts w:ascii="National 2" w:eastAsia="Times New Roman" w:hAnsi="National 2" w:cs="Arial"/>
      <w:b/>
      <w:bCs/>
      <w:color w:val="000000" w:themeColor="text1"/>
      <w:sz w:val="22"/>
      <w:szCs w:val="21"/>
      <w:lang w:eastAsia="en-AU"/>
    </w:rPr>
  </w:style>
  <w:style w:type="character" w:customStyle="1" w:styleId="Heading3Char">
    <w:name w:val="Heading 3 Char"/>
    <w:basedOn w:val="DefaultParagraphFont"/>
    <w:link w:val="Heading3"/>
    <w:uiPriority w:val="9"/>
    <w:semiHidden/>
    <w:rsid w:val="00835ABF"/>
    <w:rPr>
      <w:rFonts w:asciiTheme="majorHAnsi" w:eastAsiaTheme="majorEastAsia" w:hAnsiTheme="majorHAnsi" w:cstheme="majorBidi"/>
      <w:color w:val="243F60" w:themeColor="accent1" w:themeShade="7F"/>
      <w:sz w:val="24"/>
      <w:szCs w:val="24"/>
    </w:rPr>
  </w:style>
  <w:style w:type="paragraph" w:customStyle="1" w:styleId="TableBodyText">
    <w:name w:val="Table Body Text"/>
    <w:basedOn w:val="Normal"/>
    <w:uiPriority w:val="14"/>
    <w:qFormat/>
    <w:rsid w:val="00835ABF"/>
    <w:pPr>
      <w:spacing w:after="60" w:line="210" w:lineRule="atLeast"/>
    </w:pPr>
    <w:rPr>
      <w:rFonts w:ascii="National 2" w:eastAsia="Times New Roman" w:hAnsi="National 2"/>
      <w:bCs/>
      <w:sz w:val="20"/>
      <w:lang w:eastAsia="en-GB"/>
    </w:rPr>
  </w:style>
  <w:style w:type="character" w:customStyle="1" w:styleId="Characteritalic">
    <w:name w:val="Character (italic)"/>
    <w:basedOn w:val="DefaultParagraphFont"/>
    <w:uiPriority w:val="2"/>
    <w:qFormat/>
    <w:rsid w:val="00835ABF"/>
    <w:rPr>
      <w:i/>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1589682">
      <w:bodyDiv w:val="1"/>
      <w:marLeft w:val="0"/>
      <w:marRight w:val="0"/>
      <w:marTop w:val="0"/>
      <w:marBottom w:val="0"/>
      <w:divBdr>
        <w:top w:val="none" w:sz="0" w:space="0" w:color="auto"/>
        <w:left w:val="none" w:sz="0" w:space="0" w:color="auto"/>
        <w:bottom w:val="none" w:sz="0" w:space="0" w:color="auto"/>
        <w:right w:val="none" w:sz="0" w:space="0" w:color="auto"/>
      </w:divBdr>
    </w:div>
    <w:div w:id="13395005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viewDate xmlns="http://schemas.microsoft.com/sharepoint/v3">2017-06-30T14:30:00+00:00</ReviewDate>
    <RAA_x0020_Department xmlns="51d3f3e6-3221-4767-8924-5210539be1e7">Sales and Marketing</RAA_x0020_Department>
    <Description xmlns="108456b1-04af-4e2d-b774-ea791eeeac7d" xsi:nil="true"/>
    <PublishingContact xmlns="http://schemas.microsoft.com/sharepoint/v3">
      <UserInfo>
        <DisplayName>Steve Parker</DisplayName>
        <AccountId>91</AccountId>
        <AccountType/>
      </UserInfo>
    </PublishingContact>
  </documentManagement>
</p:properties>
</file>

<file path=customXml/item2.xml><?xml version="1.0" encoding="utf-8"?>
<ct:contentTypeSchema xmlns:ct="http://schemas.microsoft.com/office/2006/metadata/contentType" xmlns:ma="http://schemas.microsoft.com/office/2006/metadata/properties/metaAttributes" ct:_="" ma:_="" ma:contentTypeName="Handbook Template" ma:contentTypeID="0x0101009B32A1A6F4BF11DEB844AABC56D895930016910256B046E644B8B3C54DF02FFB160070FA4303396EB948B63880432D326E11" ma:contentTypeVersion="2" ma:contentTypeDescription="" ma:contentTypeScope="" ma:versionID="9f97f4c987eb6794bf774caaa2090bad">
  <xsd:schema xmlns:xsd="http://www.w3.org/2001/XMLSchema" xmlns:xs="http://www.w3.org/2001/XMLSchema" xmlns:p="http://schemas.microsoft.com/office/2006/metadata/properties" xmlns:ns1="http://schemas.microsoft.com/sharepoint/v3" xmlns:ns2="108456b1-04af-4e2d-b774-ea791eeeac7d" xmlns:ns3="51d3f3e6-3221-4767-8924-5210539be1e7" targetNamespace="http://schemas.microsoft.com/office/2006/metadata/properties" ma:root="true" ma:fieldsID="28b646620359755b887228822a2e64a6" ns1:_="" ns2:_="" ns3:_="">
    <xsd:import namespace="http://schemas.microsoft.com/sharepoint/v3"/>
    <xsd:import namespace="108456b1-04af-4e2d-b774-ea791eeeac7d"/>
    <xsd:import namespace="51d3f3e6-3221-4767-8924-5210539be1e7"/>
    <xsd:element name="properties">
      <xsd:complexType>
        <xsd:sequence>
          <xsd:element name="documentManagement">
            <xsd:complexType>
              <xsd:all>
                <xsd:element ref="ns2:Description" minOccurs="0"/>
                <xsd:element ref="ns3:RAA_x0020_Department" minOccurs="0"/>
                <xsd:element ref="ns1:ReviewDate"/>
                <xsd:element ref="ns1:PublishingCont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viewDate" ma:index="5" ma:displayName="Review Date" ma:format="DateOnly" ma:internalName="ReviewDate">
      <xsd:simpleType>
        <xsd:restriction base="dms:DateTime"/>
      </xsd:simpleType>
    </xsd:element>
    <xsd:element name="PublishingContact" ma:index="6" nillable="true" ma:displayName="Contact"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8456b1-04af-4e2d-b774-ea791eeeac7d" elementFormDefault="qualified">
    <xsd:import namespace="http://schemas.microsoft.com/office/2006/documentManagement/types"/>
    <xsd:import namespace="http://schemas.microsoft.com/office/infopath/2007/PartnerControls"/>
    <xsd:element name="Description" ma:index="2" nillable="true" ma:displayName="Description" ma:internalName="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d3f3e6-3221-4767-8924-5210539be1e7" elementFormDefault="qualified">
    <xsd:import namespace="http://schemas.microsoft.com/office/2006/documentManagement/types"/>
    <xsd:import namespace="http://schemas.microsoft.com/office/infopath/2007/PartnerControls"/>
    <xsd:element name="RAA_x0020_Department" ma:index="4" nillable="true" ma:displayName="RAA Department" ma:format="Dropdown" ma:internalName="RAA_x0020_Department">
      <xsd:simpleType>
        <xsd:restriction base="dms:Choice">
          <xsd:enumeration value="Automotive Services"/>
          <xsd:enumeration value="Finance and Corporate Services"/>
          <xsd:enumeration value="Human Resources"/>
          <xsd:enumeration value="Information Services"/>
          <xsd:enumeration value="Insurance"/>
          <xsd:enumeration value="Public Affairs"/>
          <xsd:enumeration value="Sales and Marketing"/>
          <xsd:enumeration value="Security"/>
          <xsd:enumeration value="Strategy Risk and Invest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320AB-C7F2-4503-B78F-BFA03E9249C2}">
  <ds:schemaRefs>
    <ds:schemaRef ds:uri="http://schemas.microsoft.com/sharepoint/v3"/>
    <ds:schemaRef ds:uri="http://purl.org/dc/terms/"/>
    <ds:schemaRef ds:uri="51d3f3e6-3221-4767-8924-5210539be1e7"/>
    <ds:schemaRef ds:uri="http://schemas.microsoft.com/office/2006/documentManagement/types"/>
    <ds:schemaRef ds:uri="http://schemas.microsoft.com/office/infopath/2007/PartnerControls"/>
    <ds:schemaRef ds:uri="http://purl.org/dc/elements/1.1/"/>
    <ds:schemaRef ds:uri="http://schemas.microsoft.com/office/2006/metadata/properties"/>
    <ds:schemaRef ds:uri="108456b1-04af-4e2d-b774-ea791eeeac7d"/>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0A708555-4D86-4FF4-BEB9-2A1770D3C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8456b1-04af-4e2d-b774-ea791eeeac7d"/>
    <ds:schemaRef ds:uri="51d3f3e6-3221-4767-8924-5210539be1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368471-20D9-43AD-9612-8838C811F56E}">
  <ds:schemaRefs>
    <ds:schemaRef ds:uri="http://schemas.microsoft.com/sharepoint/v3/contenttype/forms"/>
  </ds:schemaRefs>
</ds:datastoreItem>
</file>

<file path=customXml/itemProps4.xml><?xml version="1.0" encoding="utf-8"?>
<ds:datastoreItem xmlns:ds="http://schemas.openxmlformats.org/officeDocument/2006/customXml" ds:itemID="{9E343DBC-D82A-4E69-8263-2214FC9F9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983</Words>
  <Characters>5359</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Document Cover - A4 Portrait</vt:lpstr>
    </vt:vector>
  </TitlesOfParts>
  <Company>RAA OF SA</Company>
  <LinksUpToDate>false</LinksUpToDate>
  <CharactersWithSpaces>6330</CharactersWithSpaces>
  <SharedDoc>false</SharedDoc>
  <HLinks>
    <vt:vector size="6" baseType="variant">
      <vt:variant>
        <vt:i4>4063320</vt:i4>
      </vt:variant>
      <vt:variant>
        <vt:i4>-1</vt:i4>
      </vt:variant>
      <vt:variant>
        <vt:i4>1026</vt:i4>
      </vt:variant>
      <vt:variant>
        <vt:i4>1</vt:i4>
      </vt:variant>
      <vt:variant>
        <vt:lpwstr>RAA LOGO_Full Col_Med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Cover - A4 Portrait</dc:title>
  <dc:subject/>
  <dc:creator>Steve Parker</dc:creator>
  <cp:keywords/>
  <cp:lastModifiedBy>Charles Mountain</cp:lastModifiedBy>
  <cp:revision>2</cp:revision>
  <cp:lastPrinted>2019-10-22T04:47:00Z</cp:lastPrinted>
  <dcterms:created xsi:type="dcterms:W3CDTF">2019-12-18T05:42:00Z</dcterms:created>
  <dcterms:modified xsi:type="dcterms:W3CDTF">2019-12-18T05:42:00Z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0x0101009B32A1A6F4BF11DEB844AABC56D895930016910256B046E644B8B3C54DF02FFB160070FA4303396EB948B63880432D326E11</vt:lpwstr>
  </property>
  <property fmtid="{D5CDD505-2E9C-101B-9397-08002B2CF9AE}" pid="3" name="vti_description">
    <vt:lpwstr/>
  </property>
</Properties>
</file>